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4761" w14:textId="1E4E773B" w:rsidR="00431E06" w:rsidRPr="00C47279" w:rsidRDefault="00072855" w:rsidP="00431E06">
      <w:pPr>
        <w:spacing w:before="40" w:after="40"/>
        <w:jc w:val="both"/>
        <w:rPr>
          <w:lang w:val="en-GB"/>
        </w:rPr>
      </w:pPr>
      <w:r w:rsidRPr="00C47279">
        <w:rPr>
          <w:b/>
          <w:lang w:val="en-GB"/>
        </w:rPr>
        <w:t>Project n</w:t>
      </w:r>
      <w:r w:rsidRPr="00967416">
        <w:rPr>
          <w:b/>
          <w:lang w:val="en-GB"/>
        </w:rPr>
        <w:t>ame:</w:t>
      </w:r>
      <w:r w:rsidRPr="00967416">
        <w:rPr>
          <w:lang w:val="en-GB"/>
        </w:rPr>
        <w:t xml:space="preserve"> </w:t>
      </w:r>
      <w:r w:rsidR="00945B20" w:rsidRPr="00967416">
        <w:rPr>
          <w:lang w:val="en-GB"/>
        </w:rPr>
        <w:t>Housing for internally displaced persons (IDPs) and recovery of liberated cities in Ukraine</w:t>
      </w:r>
      <w:r w:rsidR="00525309" w:rsidRPr="00967416">
        <w:rPr>
          <w:lang w:val="en-GB"/>
        </w:rPr>
        <w:t xml:space="preserve"> </w:t>
      </w:r>
      <w:bookmarkStart w:id="0" w:name="_Hlk134551176"/>
      <w:r w:rsidR="00525309" w:rsidRPr="00967416">
        <w:rPr>
          <w:lang w:val="en-GB"/>
        </w:rPr>
        <w:t xml:space="preserve">- </w:t>
      </w:r>
      <w:bookmarkEnd w:id="0"/>
      <w:r w:rsidR="005012CA">
        <w:rPr>
          <w:lang w:val="en-GB"/>
        </w:rPr>
        <w:t>Dubno</w:t>
      </w:r>
    </w:p>
    <w:p w14:paraId="40236D32" w14:textId="2555E85B" w:rsidR="0069456C" w:rsidRPr="00C47279" w:rsidRDefault="00072855" w:rsidP="00431E06">
      <w:pPr>
        <w:spacing w:before="40" w:after="40"/>
        <w:rPr>
          <w:rStyle w:val="FontStyle16"/>
          <w:sz w:val="28"/>
          <w:szCs w:val="28"/>
          <w:lang w:val="en-GB"/>
        </w:rPr>
      </w:pPr>
      <w:r w:rsidRPr="00C47279">
        <w:rPr>
          <w:lang w:val="en-GB"/>
        </w:rPr>
        <w:br/>
      </w:r>
      <w:r w:rsidRPr="00C47279">
        <w:rPr>
          <w:b/>
          <w:lang w:val="en-GB"/>
        </w:rPr>
        <w:t>Country:</w:t>
      </w:r>
      <w:r w:rsidRPr="00C47279">
        <w:rPr>
          <w:lang w:val="en-GB"/>
        </w:rPr>
        <w:t xml:space="preserve"> Ukraine</w:t>
      </w:r>
      <w:r w:rsidRPr="00C47279">
        <w:rPr>
          <w:lang w:val="en-GB"/>
        </w:rPr>
        <w:br/>
      </w:r>
      <w:r w:rsidRPr="00C47279">
        <w:rPr>
          <w:b/>
          <w:lang w:val="en-GB"/>
        </w:rPr>
        <w:t>Sector:</w:t>
      </w:r>
      <w:r w:rsidRPr="00C47279">
        <w:rPr>
          <w:lang w:val="en-GB"/>
        </w:rPr>
        <w:t xml:space="preserve"> </w:t>
      </w:r>
      <w:r w:rsidR="00D63503">
        <w:rPr>
          <w:lang w:val="en-GB"/>
        </w:rPr>
        <w:t>Social Infrastructure</w:t>
      </w:r>
      <w:r w:rsidRPr="00C47279">
        <w:rPr>
          <w:lang w:val="en-GB"/>
        </w:rPr>
        <w:br/>
      </w:r>
      <w:r w:rsidRPr="00C47279">
        <w:rPr>
          <w:b/>
          <w:lang w:val="en-GB"/>
        </w:rPr>
        <w:t>Funding sources:</w:t>
      </w:r>
      <w:r w:rsidRPr="00C47279">
        <w:rPr>
          <w:lang w:val="en-GB"/>
        </w:rPr>
        <w:t xml:space="preserve"> </w:t>
      </w:r>
      <w:r w:rsidR="00945B20" w:rsidRPr="00C47279">
        <w:rPr>
          <w:lang w:val="en-GB"/>
        </w:rPr>
        <w:t>EU</w:t>
      </w:r>
      <w:r w:rsidRPr="00C47279">
        <w:rPr>
          <w:lang w:val="en-GB"/>
        </w:rPr>
        <w:br/>
      </w:r>
      <w:r w:rsidRPr="00C47279">
        <w:rPr>
          <w:b/>
          <w:bCs/>
          <w:lang w:val="en-GB"/>
        </w:rPr>
        <w:t>Procurement</w:t>
      </w:r>
      <w:r w:rsidRPr="00C47279">
        <w:rPr>
          <w:lang w:val="en-GB"/>
        </w:rPr>
        <w:t>: Works</w:t>
      </w:r>
      <w:r w:rsidR="005C0847" w:rsidRPr="00C47279">
        <w:rPr>
          <w:lang w:val="en-GB"/>
        </w:rPr>
        <w:t xml:space="preserve"> </w:t>
      </w:r>
      <w:bookmarkStart w:id="1" w:name="_Hlk134537107"/>
      <w:r w:rsidR="005C0847" w:rsidRPr="00C47279">
        <w:rPr>
          <w:lang w:val="en-GB"/>
        </w:rPr>
        <w:t>including supply of material and construction</w:t>
      </w:r>
      <w:bookmarkEnd w:id="1"/>
      <w:r w:rsidRPr="00C47279">
        <w:rPr>
          <w:lang w:val="en-GB"/>
        </w:rPr>
        <w:br/>
      </w:r>
      <w:r w:rsidRPr="00C47279">
        <w:rPr>
          <w:rStyle w:val="FontStyle15"/>
          <w:sz w:val="28"/>
          <w:szCs w:val="28"/>
          <w:lang w:val="en-GB"/>
        </w:rPr>
        <w:t>Notice type</w:t>
      </w:r>
      <w:r w:rsidRPr="00C47279">
        <w:rPr>
          <w:lang w:val="en-GB"/>
        </w:rPr>
        <w:t xml:space="preserve">: </w:t>
      </w:r>
      <w:bookmarkStart w:id="2" w:name="_Hlk134537182"/>
      <w:r w:rsidR="005C0847" w:rsidRPr="00C47279">
        <w:rPr>
          <w:rStyle w:val="FontStyle16"/>
          <w:sz w:val="28"/>
          <w:szCs w:val="28"/>
          <w:lang w:val="en-GB"/>
        </w:rPr>
        <w:t xml:space="preserve">Invitation to apply for submission </w:t>
      </w:r>
      <w:r w:rsidR="003C2510" w:rsidRPr="00C47279">
        <w:rPr>
          <w:rStyle w:val="FontStyle16"/>
          <w:sz w:val="28"/>
          <w:szCs w:val="28"/>
          <w:lang w:val="en-GB"/>
        </w:rPr>
        <w:t xml:space="preserve">of </w:t>
      </w:r>
      <w:r w:rsidR="005C0847" w:rsidRPr="00C47279">
        <w:rPr>
          <w:rStyle w:val="FontStyle16"/>
          <w:sz w:val="28"/>
          <w:szCs w:val="28"/>
          <w:lang w:val="en-GB"/>
        </w:rPr>
        <w:t>a proposal (prequalification)</w:t>
      </w:r>
      <w:bookmarkEnd w:id="2"/>
    </w:p>
    <w:p w14:paraId="715527B3" w14:textId="71212CF0" w:rsidR="009E0E63" w:rsidRPr="00C47279" w:rsidRDefault="00072855" w:rsidP="00431E06">
      <w:pPr>
        <w:spacing w:before="40" w:after="40"/>
        <w:rPr>
          <w:lang w:val="en-GB"/>
        </w:rPr>
      </w:pPr>
      <w:r w:rsidRPr="00096D96">
        <w:rPr>
          <w:rStyle w:val="FontStyle15"/>
          <w:sz w:val="28"/>
          <w:szCs w:val="28"/>
          <w:lang w:val="en-GB"/>
        </w:rPr>
        <w:t>Issue date</w:t>
      </w:r>
      <w:r w:rsidRPr="00096D96">
        <w:rPr>
          <w:lang w:val="en-GB"/>
        </w:rPr>
        <w:t xml:space="preserve">: </w:t>
      </w:r>
      <w:r w:rsidR="005012CA">
        <w:rPr>
          <w:lang w:val="en-GB"/>
        </w:rPr>
        <w:t>3</w:t>
      </w:r>
      <w:r w:rsidR="00967416" w:rsidRPr="00096D96">
        <w:rPr>
          <w:lang w:val="en-GB"/>
        </w:rPr>
        <w:t xml:space="preserve"> </w:t>
      </w:r>
      <w:r w:rsidR="005012CA">
        <w:rPr>
          <w:lang w:val="en-GB"/>
        </w:rPr>
        <w:t>August</w:t>
      </w:r>
      <w:r w:rsidRPr="00096D96">
        <w:rPr>
          <w:lang w:val="en-GB"/>
        </w:rPr>
        <w:t xml:space="preserve"> 20</w:t>
      </w:r>
      <w:r w:rsidR="00331DFF" w:rsidRPr="00096D96">
        <w:rPr>
          <w:lang w:val="en-GB"/>
        </w:rPr>
        <w:t>2</w:t>
      </w:r>
      <w:r w:rsidR="005A0075" w:rsidRPr="00096D96">
        <w:rPr>
          <w:lang w:val="en-GB"/>
        </w:rPr>
        <w:t>3</w:t>
      </w:r>
      <w:r w:rsidRPr="00096D96">
        <w:rPr>
          <w:lang w:val="en-GB"/>
        </w:rPr>
        <w:br/>
      </w:r>
      <w:r w:rsidRPr="00096D96">
        <w:rPr>
          <w:rStyle w:val="FontStyle15"/>
          <w:sz w:val="28"/>
          <w:szCs w:val="28"/>
          <w:lang w:val="en-GB"/>
        </w:rPr>
        <w:t>Closing date</w:t>
      </w:r>
      <w:r w:rsidRPr="00096D96">
        <w:rPr>
          <w:lang w:val="en-GB"/>
        </w:rPr>
        <w:t xml:space="preserve">: </w:t>
      </w:r>
      <w:bookmarkStart w:id="3" w:name="_Hlk139902520"/>
      <w:r w:rsidR="005012CA">
        <w:rPr>
          <w:lang w:val="en-GB"/>
        </w:rPr>
        <w:t>2</w:t>
      </w:r>
      <w:r w:rsidR="004B6C48">
        <w:t>5</w:t>
      </w:r>
      <w:r w:rsidR="00756237" w:rsidRPr="00096D96">
        <w:rPr>
          <w:lang w:val="en-GB"/>
        </w:rPr>
        <w:t xml:space="preserve"> August</w:t>
      </w:r>
      <w:r w:rsidRPr="00096D96">
        <w:rPr>
          <w:lang w:val="en-GB"/>
        </w:rPr>
        <w:t xml:space="preserve"> </w:t>
      </w:r>
      <w:bookmarkEnd w:id="3"/>
      <w:r w:rsidRPr="00096D96">
        <w:rPr>
          <w:lang w:val="en-GB"/>
        </w:rPr>
        <w:t>20</w:t>
      </w:r>
      <w:r w:rsidR="00331DFF" w:rsidRPr="00096D96">
        <w:rPr>
          <w:lang w:val="en-GB"/>
        </w:rPr>
        <w:t>2</w:t>
      </w:r>
      <w:r w:rsidR="00104806" w:rsidRPr="00096D96">
        <w:rPr>
          <w:lang w:val="en-GB"/>
        </w:rPr>
        <w:t>3</w:t>
      </w:r>
      <w:r w:rsidRPr="00096D96">
        <w:rPr>
          <w:lang w:val="en-GB"/>
        </w:rPr>
        <w:t xml:space="preserve"> at 23:59</w:t>
      </w:r>
      <w:r w:rsidRPr="00C47279">
        <w:rPr>
          <w:lang w:val="en-GB"/>
        </w:rPr>
        <w:t xml:space="preserve"> Kyiv time</w:t>
      </w:r>
    </w:p>
    <w:p w14:paraId="3422534F" w14:textId="77777777" w:rsidR="009E0E63" w:rsidRPr="00C47279" w:rsidRDefault="009E0E63" w:rsidP="00431E06">
      <w:pPr>
        <w:spacing w:before="40" w:after="40"/>
        <w:rPr>
          <w:lang w:val="en-GB"/>
        </w:rPr>
      </w:pPr>
      <w:bookmarkStart w:id="4" w:name="_Hlk137741293"/>
      <w:r w:rsidRPr="00C47279">
        <w:rPr>
          <w:b/>
          <w:bCs/>
          <w:lang w:val="en-GB"/>
        </w:rPr>
        <w:t>Submission of tender documents to qualified tenderers</w:t>
      </w:r>
      <w:r w:rsidRPr="00C47279">
        <w:rPr>
          <w:lang w:val="en-GB"/>
        </w:rPr>
        <w:t>: Third quarter of 2023</w:t>
      </w:r>
    </w:p>
    <w:p w14:paraId="66D8A3B7" w14:textId="6F90F338" w:rsidR="009E0E63" w:rsidRPr="00C47279" w:rsidRDefault="009E0E63" w:rsidP="00431E06">
      <w:pPr>
        <w:spacing w:before="40" w:after="40"/>
        <w:rPr>
          <w:lang w:val="en-GB"/>
        </w:rPr>
      </w:pPr>
      <w:r w:rsidRPr="00C47279">
        <w:rPr>
          <w:b/>
          <w:bCs/>
          <w:lang w:val="en-GB"/>
        </w:rPr>
        <w:t>Contract signing:</w:t>
      </w:r>
      <w:r w:rsidRPr="00C47279">
        <w:rPr>
          <w:lang w:val="en-GB"/>
        </w:rPr>
        <w:t xml:space="preserve"> Fourth quarter of 2023</w:t>
      </w:r>
    </w:p>
    <w:p w14:paraId="780027BA" w14:textId="3FADC49F" w:rsidR="00072855" w:rsidRPr="00C47279" w:rsidRDefault="009E0E63" w:rsidP="00431E06">
      <w:pPr>
        <w:spacing w:before="40" w:after="40"/>
        <w:rPr>
          <w:lang w:val="en-GB"/>
        </w:rPr>
      </w:pPr>
      <w:r w:rsidRPr="00C47279">
        <w:rPr>
          <w:b/>
          <w:bCs/>
          <w:lang w:val="en-GB"/>
        </w:rPr>
        <w:t>Start of works:</w:t>
      </w:r>
      <w:r w:rsidRPr="00C47279">
        <w:rPr>
          <w:lang w:val="en-GB"/>
        </w:rPr>
        <w:t xml:space="preserve"> Fourth quarter of 2023</w:t>
      </w:r>
      <w:bookmarkEnd w:id="4"/>
      <w:r w:rsidR="00072855" w:rsidRPr="00C47279">
        <w:rPr>
          <w:lang w:val="en-GB"/>
        </w:rPr>
        <w:br/>
      </w:r>
    </w:p>
    <w:p w14:paraId="13F3D297" w14:textId="51E537AE" w:rsidR="00F7614F" w:rsidRPr="00C47279" w:rsidRDefault="00072855" w:rsidP="003A28BF">
      <w:pPr>
        <w:jc w:val="both"/>
        <w:rPr>
          <w:lang w:val="en-GB"/>
        </w:rPr>
      </w:pPr>
      <w:r w:rsidRPr="00C47279">
        <w:rPr>
          <w:lang w:val="en-GB"/>
        </w:rPr>
        <w:t xml:space="preserve">The </w:t>
      </w:r>
      <w:r w:rsidR="00945B20" w:rsidRPr="00C47279">
        <w:rPr>
          <w:lang w:val="en-GB"/>
        </w:rPr>
        <w:t>municipalities of Chernivtsi, Dubno, Kovel, Lviv, Zhytomyr and Makariv</w:t>
      </w:r>
      <w:r w:rsidRPr="00C47279">
        <w:rPr>
          <w:lang w:val="en-GB"/>
        </w:rPr>
        <w:t xml:space="preserve"> </w:t>
      </w:r>
      <w:bookmarkStart w:id="5" w:name="_Hlk134537464"/>
      <w:r w:rsidR="009E1AAD" w:rsidRPr="00C47279">
        <w:rPr>
          <w:lang w:val="en-GB"/>
        </w:rPr>
        <w:t>are included in the programme</w:t>
      </w:r>
      <w:bookmarkEnd w:id="5"/>
      <w:r w:rsidRPr="00C47279">
        <w:rPr>
          <w:lang w:val="en-GB"/>
        </w:rPr>
        <w:t xml:space="preserve"> "</w:t>
      </w:r>
      <w:r w:rsidR="00945B20" w:rsidRPr="00C47279">
        <w:rPr>
          <w:lang w:val="en-GB"/>
        </w:rPr>
        <w:t>Housing for internally displaced persons (IDPs) and recovery of liberated cities in Ukraine</w:t>
      </w:r>
      <w:r w:rsidRPr="00C47279">
        <w:rPr>
          <w:lang w:val="en-GB"/>
        </w:rPr>
        <w:t>".</w:t>
      </w:r>
    </w:p>
    <w:p w14:paraId="44F60353" w14:textId="4AA6E5C9" w:rsidR="00072855" w:rsidRPr="00C47279" w:rsidRDefault="00072855" w:rsidP="003A28BF">
      <w:pPr>
        <w:jc w:val="both"/>
        <w:rPr>
          <w:highlight w:val="yellow"/>
          <w:lang w:val="en-GB"/>
        </w:rPr>
      </w:pPr>
      <w:r w:rsidRPr="00C47279">
        <w:rPr>
          <w:lang w:val="en-GB"/>
        </w:rPr>
        <w:t>Within the framework of the project "</w:t>
      </w:r>
      <w:r w:rsidR="00C77484" w:rsidRPr="00C47279">
        <w:rPr>
          <w:lang w:val="en-GB"/>
        </w:rPr>
        <w:t>Housing for internally displaced persons (IDPs) and recovery of liberated cities in Ukraine</w:t>
      </w:r>
      <w:r w:rsidRPr="00C47279">
        <w:rPr>
          <w:lang w:val="en-GB"/>
        </w:rPr>
        <w:t>", contractors will</w:t>
      </w:r>
      <w:r w:rsidR="0040105F" w:rsidRPr="00C47279">
        <w:rPr>
          <w:lang w:val="en-GB"/>
        </w:rPr>
        <w:t xml:space="preserve"> </w:t>
      </w:r>
      <w:r w:rsidRPr="00C47279">
        <w:rPr>
          <w:lang w:val="en-GB"/>
        </w:rPr>
        <w:t xml:space="preserve">be selected </w:t>
      </w:r>
      <w:r w:rsidR="004A7135" w:rsidRPr="00C47279">
        <w:rPr>
          <w:lang w:val="en-GB"/>
        </w:rPr>
        <w:t xml:space="preserve">in 2023 </w:t>
      </w:r>
      <w:r w:rsidRPr="00C47279">
        <w:rPr>
          <w:lang w:val="en-GB"/>
        </w:rPr>
        <w:t xml:space="preserve">for implementation of contracts </w:t>
      </w:r>
      <w:r w:rsidR="004567E7" w:rsidRPr="00C47279">
        <w:rPr>
          <w:lang w:val="en-GB"/>
        </w:rPr>
        <w:t xml:space="preserve">with </w:t>
      </w:r>
      <w:r w:rsidRPr="00C47279">
        <w:rPr>
          <w:lang w:val="en-GB"/>
        </w:rPr>
        <w:t xml:space="preserve">a total amount of about </w:t>
      </w:r>
      <w:r w:rsidR="004A7135" w:rsidRPr="00C47279">
        <w:rPr>
          <w:lang w:val="en-GB"/>
        </w:rPr>
        <w:t xml:space="preserve">EUR </w:t>
      </w:r>
      <w:r w:rsidR="00C77484" w:rsidRPr="00C47279">
        <w:rPr>
          <w:lang w:val="en-GB"/>
        </w:rPr>
        <w:t>64</w:t>
      </w:r>
      <w:r w:rsidRPr="00C47279">
        <w:rPr>
          <w:lang w:val="en-GB"/>
        </w:rPr>
        <w:t xml:space="preserve"> million in the following areas:</w:t>
      </w:r>
    </w:p>
    <w:p w14:paraId="3597764D" w14:textId="3F78AFAF" w:rsidR="002E2BC2" w:rsidRPr="00C47279" w:rsidRDefault="00C77484" w:rsidP="0047406A">
      <w:pPr>
        <w:pStyle w:val="a5"/>
        <w:numPr>
          <w:ilvl w:val="0"/>
          <w:numId w:val="3"/>
        </w:numPr>
        <w:ind w:left="567"/>
        <w:jc w:val="both"/>
        <w:rPr>
          <w:lang w:val="en-GB"/>
        </w:rPr>
      </w:pPr>
      <w:r w:rsidRPr="00C47279">
        <w:rPr>
          <w:lang w:val="en-GB"/>
        </w:rPr>
        <w:t xml:space="preserve">Construction of fully equipped and furnished blocks of flats </w:t>
      </w:r>
      <w:r w:rsidR="00ED65ED" w:rsidRPr="00C47279">
        <w:rPr>
          <w:lang w:val="en-GB"/>
        </w:rPr>
        <w:t>with useful area between 3,</w:t>
      </w:r>
      <w:r w:rsidR="008638DB" w:rsidRPr="00C47279">
        <w:rPr>
          <w:lang w:val="en-GB"/>
        </w:rPr>
        <w:t>5</w:t>
      </w:r>
      <w:r w:rsidR="00ED65ED" w:rsidRPr="00C47279">
        <w:rPr>
          <w:lang w:val="en-GB"/>
        </w:rPr>
        <w:t>00</w:t>
      </w:r>
      <w:r w:rsidR="00F85FFA" w:rsidRPr="00C47279">
        <w:rPr>
          <w:lang w:val="en-GB"/>
        </w:rPr>
        <w:t xml:space="preserve"> </w:t>
      </w:r>
      <w:r w:rsidR="004A7135" w:rsidRPr="00C47279">
        <w:rPr>
          <w:lang w:val="en-GB"/>
        </w:rPr>
        <w:t>square metres</w:t>
      </w:r>
      <w:r w:rsidR="00ED65ED" w:rsidRPr="00C47279">
        <w:rPr>
          <w:lang w:val="en-GB"/>
        </w:rPr>
        <w:t xml:space="preserve"> and </w:t>
      </w:r>
      <w:r w:rsidR="008638DB" w:rsidRPr="00C47279">
        <w:rPr>
          <w:lang w:val="en-GB"/>
        </w:rPr>
        <w:t xml:space="preserve">10,110 </w:t>
      </w:r>
      <w:r w:rsidR="004A7135" w:rsidRPr="00C47279">
        <w:rPr>
          <w:lang w:val="en-GB"/>
        </w:rPr>
        <w:t xml:space="preserve">square metres </w:t>
      </w:r>
      <w:r w:rsidR="00ED65ED" w:rsidRPr="00C47279">
        <w:rPr>
          <w:lang w:val="en-GB"/>
        </w:rPr>
        <w:t>and with 3-5 floors</w:t>
      </w:r>
      <w:r w:rsidR="00712585" w:rsidRPr="00C47279">
        <w:rPr>
          <w:lang w:val="en-GB"/>
        </w:rPr>
        <w:t xml:space="preserve"> in the municipalities of</w:t>
      </w:r>
    </w:p>
    <w:p w14:paraId="2385F28C" w14:textId="49E60C8A" w:rsidR="002E2BC2" w:rsidRPr="00C47279" w:rsidRDefault="00712585" w:rsidP="00F7614F">
      <w:pPr>
        <w:pStyle w:val="a5"/>
        <w:numPr>
          <w:ilvl w:val="1"/>
          <w:numId w:val="3"/>
        </w:numPr>
        <w:ind w:hanging="589"/>
        <w:jc w:val="both"/>
        <w:rPr>
          <w:lang w:val="en-GB"/>
        </w:rPr>
      </w:pPr>
      <w:r w:rsidRPr="00C47279">
        <w:rPr>
          <w:lang w:val="en-GB"/>
        </w:rPr>
        <w:t>Chernivtsi</w:t>
      </w:r>
      <w:r w:rsidR="002E2BC2" w:rsidRPr="00C47279">
        <w:rPr>
          <w:lang w:val="en-GB"/>
        </w:rPr>
        <w:t xml:space="preserve">, planned investment </w:t>
      </w:r>
      <w:r w:rsidR="004A7135" w:rsidRPr="00C47279">
        <w:rPr>
          <w:lang w:val="en-GB"/>
        </w:rPr>
        <w:t xml:space="preserve">EUR </w:t>
      </w:r>
      <w:r w:rsidR="002E2BC2" w:rsidRPr="00C47279">
        <w:rPr>
          <w:lang w:val="en-GB"/>
        </w:rPr>
        <w:t xml:space="preserve">10.5 </w:t>
      </w:r>
      <w:r w:rsidR="004A7135" w:rsidRPr="00C47279">
        <w:rPr>
          <w:lang w:val="en-GB"/>
        </w:rPr>
        <w:t>million</w:t>
      </w:r>
    </w:p>
    <w:p w14:paraId="4D6FF84B" w14:textId="0C62F4DA" w:rsidR="002E2BC2" w:rsidRPr="00C47279" w:rsidRDefault="00712585" w:rsidP="00F7614F">
      <w:pPr>
        <w:pStyle w:val="a5"/>
        <w:numPr>
          <w:ilvl w:val="1"/>
          <w:numId w:val="3"/>
        </w:numPr>
        <w:ind w:hanging="589"/>
        <w:jc w:val="both"/>
        <w:rPr>
          <w:lang w:val="en-GB"/>
        </w:rPr>
      </w:pPr>
      <w:r w:rsidRPr="00C47279">
        <w:rPr>
          <w:lang w:val="en-GB"/>
        </w:rPr>
        <w:t xml:space="preserve">Dubno, </w:t>
      </w:r>
      <w:r w:rsidR="002E2BC2" w:rsidRPr="00C47279">
        <w:rPr>
          <w:lang w:val="en-GB"/>
        </w:rPr>
        <w:t xml:space="preserve">planned investment </w:t>
      </w:r>
      <w:r w:rsidR="004A7135" w:rsidRPr="00C47279">
        <w:rPr>
          <w:lang w:val="en-GB"/>
        </w:rPr>
        <w:t xml:space="preserve">EUR </w:t>
      </w:r>
      <w:r w:rsidR="002E2BC2" w:rsidRPr="00C47279">
        <w:rPr>
          <w:lang w:val="en-GB"/>
        </w:rPr>
        <w:t xml:space="preserve">5.3 </w:t>
      </w:r>
      <w:r w:rsidR="004A7135" w:rsidRPr="00C47279">
        <w:rPr>
          <w:lang w:val="en-GB"/>
        </w:rPr>
        <w:t>million</w:t>
      </w:r>
    </w:p>
    <w:p w14:paraId="420C12FA" w14:textId="05982419" w:rsidR="002E2BC2" w:rsidRPr="00C47279" w:rsidRDefault="00712585" w:rsidP="00F7614F">
      <w:pPr>
        <w:pStyle w:val="a5"/>
        <w:numPr>
          <w:ilvl w:val="1"/>
          <w:numId w:val="3"/>
        </w:numPr>
        <w:ind w:hanging="589"/>
        <w:jc w:val="both"/>
        <w:rPr>
          <w:lang w:val="en-GB"/>
        </w:rPr>
      </w:pPr>
      <w:r w:rsidRPr="00C47279">
        <w:rPr>
          <w:lang w:val="en-GB"/>
        </w:rPr>
        <w:t xml:space="preserve">Kovel, </w:t>
      </w:r>
      <w:r w:rsidR="002E2BC2" w:rsidRPr="00C47279">
        <w:rPr>
          <w:lang w:val="en-GB"/>
        </w:rPr>
        <w:t xml:space="preserve">planned investment </w:t>
      </w:r>
      <w:r w:rsidR="004A7135" w:rsidRPr="00C47279">
        <w:rPr>
          <w:lang w:val="en-GB"/>
        </w:rPr>
        <w:t xml:space="preserve">EUR </w:t>
      </w:r>
      <w:r w:rsidR="002E2BC2" w:rsidRPr="00C47279">
        <w:rPr>
          <w:lang w:val="en-GB"/>
        </w:rPr>
        <w:t xml:space="preserve">4.8 </w:t>
      </w:r>
      <w:r w:rsidR="004A7135" w:rsidRPr="00C47279">
        <w:rPr>
          <w:lang w:val="en-GB"/>
        </w:rPr>
        <w:t>million</w:t>
      </w:r>
    </w:p>
    <w:p w14:paraId="07FBFD4F" w14:textId="6C7EDBA0" w:rsidR="002E2BC2" w:rsidRPr="00C47279" w:rsidRDefault="00712585" w:rsidP="00F7614F">
      <w:pPr>
        <w:pStyle w:val="a5"/>
        <w:numPr>
          <w:ilvl w:val="1"/>
          <w:numId w:val="3"/>
        </w:numPr>
        <w:ind w:hanging="589"/>
        <w:jc w:val="both"/>
        <w:rPr>
          <w:lang w:val="en-GB"/>
        </w:rPr>
      </w:pPr>
      <w:r w:rsidRPr="00C47279">
        <w:rPr>
          <w:lang w:val="en-GB"/>
        </w:rPr>
        <w:t>Lviv</w:t>
      </w:r>
      <w:r w:rsidR="002E2BC2" w:rsidRPr="00C47279">
        <w:rPr>
          <w:lang w:val="en-GB"/>
        </w:rPr>
        <w:t xml:space="preserve">, planned investment </w:t>
      </w:r>
      <w:r w:rsidR="004A7135" w:rsidRPr="00C47279">
        <w:rPr>
          <w:lang w:val="en-GB"/>
        </w:rPr>
        <w:t xml:space="preserve">EUR </w:t>
      </w:r>
      <w:r w:rsidR="002E2BC2" w:rsidRPr="00C47279">
        <w:rPr>
          <w:lang w:val="en-GB"/>
        </w:rPr>
        <w:t>19.5</w:t>
      </w:r>
      <w:r w:rsidR="004A7135" w:rsidRPr="00C47279">
        <w:rPr>
          <w:lang w:val="en-GB"/>
        </w:rPr>
        <w:t xml:space="preserve"> million</w:t>
      </w:r>
    </w:p>
    <w:p w14:paraId="6645D5F1" w14:textId="4412726F" w:rsidR="0047406A" w:rsidRPr="00C47279" w:rsidRDefault="00712585" w:rsidP="00F7614F">
      <w:pPr>
        <w:pStyle w:val="a5"/>
        <w:numPr>
          <w:ilvl w:val="1"/>
          <w:numId w:val="3"/>
        </w:numPr>
        <w:ind w:hanging="589"/>
        <w:jc w:val="both"/>
        <w:rPr>
          <w:lang w:val="en-GB"/>
        </w:rPr>
      </w:pPr>
      <w:r w:rsidRPr="00C47279">
        <w:rPr>
          <w:lang w:val="en-GB"/>
        </w:rPr>
        <w:t>Zhytomyr</w:t>
      </w:r>
      <w:r w:rsidR="002E2BC2" w:rsidRPr="00C47279">
        <w:rPr>
          <w:lang w:val="en-GB"/>
        </w:rPr>
        <w:t xml:space="preserve">, planned investment </w:t>
      </w:r>
      <w:r w:rsidR="004A7135" w:rsidRPr="00C47279">
        <w:rPr>
          <w:lang w:val="en-GB"/>
        </w:rPr>
        <w:t xml:space="preserve">EUR </w:t>
      </w:r>
      <w:r w:rsidR="002E2BC2" w:rsidRPr="00C47279">
        <w:rPr>
          <w:lang w:val="en-GB"/>
        </w:rPr>
        <w:t xml:space="preserve">8.0 </w:t>
      </w:r>
      <w:r w:rsidR="004A7135" w:rsidRPr="00C47279">
        <w:rPr>
          <w:lang w:val="en-GB"/>
        </w:rPr>
        <w:t>million</w:t>
      </w:r>
    </w:p>
    <w:p w14:paraId="3BABD326" w14:textId="392A8FEB" w:rsidR="0047406A" w:rsidRPr="00C47279" w:rsidRDefault="00712585" w:rsidP="0047406A">
      <w:pPr>
        <w:pStyle w:val="a5"/>
        <w:numPr>
          <w:ilvl w:val="0"/>
          <w:numId w:val="3"/>
        </w:numPr>
        <w:ind w:left="567"/>
        <w:jc w:val="both"/>
        <w:rPr>
          <w:lang w:val="en-GB"/>
        </w:rPr>
      </w:pPr>
      <w:r w:rsidRPr="00C47279">
        <w:rPr>
          <w:lang w:val="en-GB"/>
        </w:rPr>
        <w:t xml:space="preserve">Construction of two kindergartens and refurbishment of two </w:t>
      </w:r>
      <w:r w:rsidR="00A458AF">
        <w:rPr>
          <w:lang w:val="en-GB"/>
        </w:rPr>
        <w:t xml:space="preserve">buildings of local </w:t>
      </w:r>
      <w:r w:rsidRPr="00C47279">
        <w:rPr>
          <w:lang w:val="en-GB"/>
        </w:rPr>
        <w:t>hospital</w:t>
      </w:r>
      <w:r w:rsidR="00A458AF">
        <w:rPr>
          <w:lang w:val="en-GB"/>
        </w:rPr>
        <w:t xml:space="preserve"> (Polyclinic, </w:t>
      </w:r>
      <w:r w:rsidR="00A458AF" w:rsidRPr="00A458AF">
        <w:rPr>
          <w:lang w:val="en-GB"/>
        </w:rPr>
        <w:t>Therapeutic</w:t>
      </w:r>
      <w:r w:rsidR="00A458AF" w:rsidRPr="006C5E40">
        <w:rPr>
          <w:lang w:val="en-US"/>
        </w:rPr>
        <w:t xml:space="preserve"> </w:t>
      </w:r>
      <w:r w:rsidR="000C4F90">
        <w:rPr>
          <w:lang w:val="en-US"/>
        </w:rPr>
        <w:t>block)</w:t>
      </w:r>
      <w:r w:rsidRPr="00C47279">
        <w:rPr>
          <w:lang w:val="en-GB"/>
        </w:rPr>
        <w:t xml:space="preserve"> and a </w:t>
      </w:r>
      <w:r w:rsidR="00C52206">
        <w:rPr>
          <w:lang w:val="en-GB"/>
        </w:rPr>
        <w:t>Lyceum</w:t>
      </w:r>
      <w:r w:rsidR="00C52206" w:rsidRPr="00C47279">
        <w:rPr>
          <w:lang w:val="en-GB"/>
        </w:rPr>
        <w:t xml:space="preserve"> </w:t>
      </w:r>
      <w:r w:rsidRPr="00C47279">
        <w:rPr>
          <w:lang w:val="en-GB"/>
        </w:rPr>
        <w:t>building in the municipality of Makariv</w:t>
      </w:r>
      <w:r w:rsidR="002E2BC2" w:rsidRPr="00C47279">
        <w:rPr>
          <w:lang w:val="en-GB"/>
        </w:rPr>
        <w:t>, planned investment 15.8 MEUR</w:t>
      </w:r>
    </w:p>
    <w:p w14:paraId="4C5A093C" w14:textId="41CFA6B5" w:rsidR="00B71945" w:rsidRPr="00B71945" w:rsidRDefault="009E1AAD" w:rsidP="00B71945">
      <w:pPr>
        <w:rPr>
          <w:highlight w:val="yellow"/>
          <w:lang w:val="en-GB"/>
        </w:rPr>
      </w:pPr>
      <w:bookmarkStart w:id="6" w:name="_Hlk134544797"/>
      <w:r w:rsidRPr="00C47279">
        <w:rPr>
          <w:lang w:val="en-GB"/>
        </w:rPr>
        <w:t>This invitation rela</w:t>
      </w:r>
      <w:r w:rsidRPr="00AD13F5">
        <w:rPr>
          <w:lang w:val="en-GB"/>
        </w:rPr>
        <w:t xml:space="preserve">tes to </w:t>
      </w:r>
      <w:r w:rsidR="004567E7" w:rsidRPr="00AD13F5">
        <w:rPr>
          <w:lang w:val="en-GB"/>
        </w:rPr>
        <w:t>contract</w:t>
      </w:r>
      <w:r w:rsidR="00892C8D" w:rsidRPr="00AD13F5">
        <w:rPr>
          <w:lang w:val="en-GB"/>
        </w:rPr>
        <w:t>s</w:t>
      </w:r>
      <w:r w:rsidR="004567E7" w:rsidRPr="00AD13F5">
        <w:rPr>
          <w:lang w:val="en-GB"/>
        </w:rPr>
        <w:t xml:space="preserve"> </w:t>
      </w:r>
      <w:r w:rsidRPr="00AD13F5">
        <w:rPr>
          <w:lang w:val="en-GB"/>
        </w:rPr>
        <w:t>in</w:t>
      </w:r>
      <w:r w:rsidR="00897B98" w:rsidRPr="00AD13F5">
        <w:rPr>
          <w:lang w:val="en-GB"/>
        </w:rPr>
        <w:t xml:space="preserve"> </w:t>
      </w:r>
      <w:r w:rsidR="005012CA">
        <w:rPr>
          <w:lang w:val="en-GB"/>
        </w:rPr>
        <w:t>Dubno</w:t>
      </w:r>
      <w:r w:rsidR="0009479B" w:rsidRPr="00967416">
        <w:rPr>
          <w:lang w:val="en-GB"/>
        </w:rPr>
        <w:t xml:space="preserve"> represented</w:t>
      </w:r>
      <w:r w:rsidR="0009479B" w:rsidRPr="00C47279">
        <w:rPr>
          <w:lang w:val="en-GB"/>
        </w:rPr>
        <w:t xml:space="preserve"> by the </w:t>
      </w:r>
      <w:r w:rsidR="005012CA">
        <w:rPr>
          <w:lang w:val="en-GB"/>
        </w:rPr>
        <w:t>City</w:t>
      </w:r>
      <w:r w:rsidR="0009479B" w:rsidRPr="00C47279">
        <w:rPr>
          <w:lang w:val="en-GB"/>
        </w:rPr>
        <w:t xml:space="preserve"> Council (the Employer)</w:t>
      </w:r>
      <w:r w:rsidR="00295CE9" w:rsidRPr="00C47279">
        <w:rPr>
          <w:lang w:val="en-GB"/>
        </w:rPr>
        <w:t xml:space="preserve">. The procurement follows Nefco’s ”Procurement Policy and Procedure”, January 2021. </w:t>
      </w:r>
      <w:r w:rsidR="004567E7" w:rsidRPr="00C47279">
        <w:rPr>
          <w:lang w:val="en-GB"/>
        </w:rPr>
        <w:t>C</w:t>
      </w:r>
      <w:r w:rsidR="00295CE9" w:rsidRPr="00C47279">
        <w:rPr>
          <w:lang w:val="en-GB"/>
        </w:rPr>
        <w:t>ontractors submitting an application</w:t>
      </w:r>
      <w:r w:rsidR="00C05C05" w:rsidRPr="00C47279">
        <w:rPr>
          <w:lang w:val="en-GB"/>
        </w:rPr>
        <w:t xml:space="preserve"> to tender </w:t>
      </w:r>
      <w:r w:rsidR="006538E1" w:rsidRPr="00C47279">
        <w:rPr>
          <w:lang w:val="en-GB"/>
        </w:rPr>
        <w:t xml:space="preserve">(the </w:t>
      </w:r>
      <w:r w:rsidR="006538E1" w:rsidRPr="00C47279">
        <w:rPr>
          <w:lang w:val="en-GB"/>
        </w:rPr>
        <w:lastRenderedPageBreak/>
        <w:t xml:space="preserve">Application) </w:t>
      </w:r>
      <w:r w:rsidR="00C05C05" w:rsidRPr="00C47279">
        <w:rPr>
          <w:lang w:val="en-GB"/>
        </w:rPr>
        <w:t>before the closing date</w:t>
      </w:r>
      <w:r w:rsidR="00295CE9" w:rsidRPr="00C47279">
        <w:rPr>
          <w:lang w:val="en-GB"/>
        </w:rPr>
        <w:t xml:space="preserve"> </w:t>
      </w:r>
      <w:r w:rsidR="008A5F5A" w:rsidRPr="00C47279">
        <w:rPr>
          <w:lang w:val="en-GB"/>
        </w:rPr>
        <w:t xml:space="preserve">proving </w:t>
      </w:r>
      <w:r w:rsidR="00295CE9" w:rsidRPr="00C47279">
        <w:rPr>
          <w:lang w:val="en-GB"/>
        </w:rPr>
        <w:t>that they comply with all qualification criteria</w:t>
      </w:r>
      <w:r w:rsidR="00C05C05" w:rsidRPr="00C47279">
        <w:rPr>
          <w:lang w:val="en-GB"/>
        </w:rPr>
        <w:t xml:space="preserve"> </w:t>
      </w:r>
      <w:r w:rsidR="00C05C05" w:rsidRPr="00A742E7">
        <w:rPr>
          <w:lang w:val="en-GB"/>
        </w:rPr>
        <w:t>will be invited to tend</w:t>
      </w:r>
      <w:r w:rsidR="00D20EB2" w:rsidRPr="00A742E7">
        <w:rPr>
          <w:lang w:val="en-GB"/>
        </w:rPr>
        <w:t>er.</w:t>
      </w:r>
      <w:r w:rsidR="00B71945" w:rsidRPr="00A742E7">
        <w:rPr>
          <w:lang w:val="en-GB"/>
        </w:rPr>
        <w:t xml:space="preserve"> In the case that one contractor should win more than one contract within the programme “Housing for internally displaced persons (IDPs) and recovery of liberated cities in Ukraine", the required average annual revenue and the average value of similar projects would be correspondingly increased based on the contract values.</w:t>
      </w:r>
    </w:p>
    <w:p w14:paraId="6D07BE0B" w14:textId="46417117" w:rsidR="00C05C05" w:rsidRDefault="00C05C05" w:rsidP="00B71945">
      <w:pPr>
        <w:jc w:val="both"/>
        <w:rPr>
          <w:lang w:val="en-GB"/>
        </w:rPr>
      </w:pPr>
      <w:r w:rsidRPr="00C47279">
        <w:rPr>
          <w:lang w:val="en-GB"/>
        </w:rPr>
        <w:t>Applications sh</w:t>
      </w:r>
      <w:r w:rsidR="00AC1FEC" w:rsidRPr="00C47279">
        <w:rPr>
          <w:lang w:val="en-GB"/>
        </w:rPr>
        <w:t>all</w:t>
      </w:r>
      <w:r w:rsidRPr="00C47279">
        <w:rPr>
          <w:lang w:val="en-GB"/>
        </w:rPr>
        <w:t xml:space="preserve"> be submitted by e-mail to:</w:t>
      </w:r>
    </w:p>
    <w:bookmarkStart w:id="7" w:name="_Hlk141439455"/>
    <w:p w14:paraId="0AC86CF9" w14:textId="0B5E212E" w:rsidR="005012CA" w:rsidRPr="00C47279" w:rsidRDefault="005012CA" w:rsidP="00B71945">
      <w:pPr>
        <w:jc w:val="both"/>
        <w:rPr>
          <w:lang w:val="en-GB"/>
        </w:rPr>
      </w:pPr>
      <w:r>
        <w:rPr>
          <w:lang w:val="en-GB"/>
        </w:rPr>
        <w:fldChar w:fldCharType="begin"/>
      </w:r>
      <w:r>
        <w:rPr>
          <w:lang w:val="en-GB"/>
        </w:rPr>
        <w:instrText xml:space="preserve"> HYPERLINK "mailto:</w:instrText>
      </w:r>
      <w:r w:rsidRPr="005012CA">
        <w:rPr>
          <w:lang w:val="en-GB"/>
        </w:rPr>
        <w:instrText>sm-se-ukr-prequal-</w:instrText>
      </w:r>
      <w:r>
        <w:rPr>
          <w:lang w:val="en-GB"/>
        </w:rPr>
        <w:instrText>dubno</w:instrText>
      </w:r>
      <w:r w:rsidRPr="005012CA">
        <w:rPr>
          <w:lang w:val="en-GB"/>
        </w:rPr>
        <w:instrText>@sweco.se</w:instrText>
      </w:r>
      <w:r>
        <w:rPr>
          <w:lang w:val="en-GB"/>
        </w:rPr>
        <w:instrText xml:space="preserve">" </w:instrText>
      </w:r>
      <w:r>
        <w:rPr>
          <w:lang w:val="en-GB"/>
        </w:rPr>
      </w:r>
      <w:r>
        <w:rPr>
          <w:lang w:val="en-GB"/>
        </w:rPr>
        <w:fldChar w:fldCharType="separate"/>
      </w:r>
      <w:r w:rsidRPr="00086E7C">
        <w:rPr>
          <w:rStyle w:val="ae"/>
          <w:lang w:val="en-GB"/>
        </w:rPr>
        <w:t>sm-se-ukr-prequal-dubno@sweco.se</w:t>
      </w:r>
      <w:r>
        <w:rPr>
          <w:lang w:val="en-GB"/>
        </w:rPr>
        <w:fldChar w:fldCharType="end"/>
      </w:r>
    </w:p>
    <w:bookmarkEnd w:id="7"/>
    <w:p w14:paraId="10A8E961" w14:textId="76E6BD0B" w:rsidR="00604FF1" w:rsidRPr="00C47279" w:rsidRDefault="00604FF1" w:rsidP="00C05C05">
      <w:pPr>
        <w:rPr>
          <w:lang w:val="en-GB"/>
        </w:rPr>
      </w:pPr>
      <w:r w:rsidRPr="00C47279">
        <w:rPr>
          <w:lang w:val="en-GB"/>
        </w:rPr>
        <w:t>The Application as well as all correspondence and documents relating to the prequalification exchanged by the Applicant and the Employer, shall be in English or Ukrainian.</w:t>
      </w:r>
    </w:p>
    <w:p w14:paraId="77AAABD0" w14:textId="096C4A9F" w:rsidR="00C05C05" w:rsidRPr="00C47279" w:rsidRDefault="00C05C05" w:rsidP="00C05C05">
      <w:pPr>
        <w:rPr>
          <w:lang w:val="en-GB"/>
        </w:rPr>
      </w:pPr>
      <w:r w:rsidRPr="00C47279">
        <w:rPr>
          <w:lang w:val="en-GB"/>
        </w:rPr>
        <w:t>The qualification criteria are the following</w:t>
      </w:r>
      <w:r w:rsidR="009C5183" w:rsidRPr="00C47279">
        <w:rPr>
          <w:lang w:val="en-GB"/>
        </w:rPr>
        <w:t xml:space="preserve"> and information should be supplied in the forms in the corresponding appendices</w:t>
      </w:r>
      <w:r w:rsidRPr="00C47279">
        <w:rPr>
          <w:lang w:val="en-GB"/>
        </w:rPr>
        <w:t>:</w:t>
      </w:r>
    </w:p>
    <w:p w14:paraId="6F945FD8" w14:textId="77777777" w:rsidR="0064472C" w:rsidRPr="00C47279" w:rsidRDefault="0064472C" w:rsidP="0064472C">
      <w:pPr>
        <w:pStyle w:val="a5"/>
        <w:numPr>
          <w:ilvl w:val="0"/>
          <w:numId w:val="6"/>
        </w:numPr>
        <w:spacing w:before="0" w:after="60" w:line="240" w:lineRule="auto"/>
        <w:ind w:left="993" w:hanging="633"/>
        <w:contextualSpacing w:val="0"/>
        <w:rPr>
          <w:lang w:val="en-GB"/>
        </w:rPr>
      </w:pPr>
      <w:r w:rsidRPr="00C47279">
        <w:rPr>
          <w:lang w:val="en-GB"/>
        </w:rPr>
        <w:t>Eligibility</w:t>
      </w:r>
    </w:p>
    <w:p w14:paraId="4DA6E9E6" w14:textId="77777777" w:rsidR="00464701" w:rsidRPr="00C47279" w:rsidRDefault="00464701" w:rsidP="00F7614F">
      <w:pPr>
        <w:pStyle w:val="a5"/>
        <w:numPr>
          <w:ilvl w:val="0"/>
          <w:numId w:val="6"/>
        </w:numPr>
        <w:spacing w:before="0" w:after="60" w:line="240" w:lineRule="auto"/>
        <w:ind w:left="993" w:hanging="633"/>
        <w:contextualSpacing w:val="0"/>
        <w:rPr>
          <w:lang w:val="en-GB"/>
        </w:rPr>
      </w:pPr>
      <w:bookmarkStart w:id="8" w:name="_Hlk134549345"/>
      <w:bookmarkEnd w:id="6"/>
      <w:r w:rsidRPr="00C47279">
        <w:rPr>
          <w:lang w:val="en-GB"/>
        </w:rPr>
        <w:t>Average annual revenue</w:t>
      </w:r>
    </w:p>
    <w:p w14:paraId="1767F7BF" w14:textId="6B590C2C" w:rsidR="00464701" w:rsidRPr="008271AC" w:rsidRDefault="00464701" w:rsidP="00F7614F">
      <w:pPr>
        <w:pStyle w:val="a5"/>
        <w:numPr>
          <w:ilvl w:val="1"/>
          <w:numId w:val="6"/>
        </w:numPr>
        <w:spacing w:before="0" w:after="60" w:line="240" w:lineRule="auto"/>
        <w:ind w:left="1497" w:hanging="448"/>
        <w:contextualSpacing w:val="0"/>
        <w:rPr>
          <w:lang w:val="en-GB"/>
        </w:rPr>
      </w:pPr>
      <w:r w:rsidRPr="00C47279">
        <w:rPr>
          <w:lang w:val="en-GB"/>
        </w:rPr>
        <w:t xml:space="preserve">The average annual revenue for the best three (3) years of the last five (5) years is not </w:t>
      </w:r>
      <w:r w:rsidRPr="008271AC">
        <w:rPr>
          <w:lang w:val="en-GB"/>
        </w:rPr>
        <w:t xml:space="preserve">less than: </w:t>
      </w:r>
      <w:r w:rsidR="00300F0F" w:rsidRPr="008271AC">
        <w:rPr>
          <w:lang w:val="en-GB"/>
        </w:rPr>
        <w:t>3.</w:t>
      </w:r>
      <w:r w:rsidR="005012CA">
        <w:rPr>
          <w:lang w:val="en-GB"/>
        </w:rPr>
        <w:t>0</w:t>
      </w:r>
      <w:r w:rsidR="005108D0" w:rsidRPr="008271AC">
        <w:rPr>
          <w:lang w:val="en-GB"/>
        </w:rPr>
        <w:t xml:space="preserve"> </w:t>
      </w:r>
      <w:r w:rsidR="00825E1B" w:rsidRPr="008271AC">
        <w:rPr>
          <w:lang w:val="en-GB"/>
        </w:rPr>
        <w:t>million euros</w:t>
      </w:r>
    </w:p>
    <w:p w14:paraId="09912BC2" w14:textId="77777777" w:rsidR="00CF5CF7" w:rsidRPr="008271AC" w:rsidRDefault="0090518D" w:rsidP="00F7614F">
      <w:pPr>
        <w:pStyle w:val="a5"/>
        <w:numPr>
          <w:ilvl w:val="0"/>
          <w:numId w:val="6"/>
        </w:numPr>
        <w:spacing w:before="0" w:after="60" w:line="240" w:lineRule="auto"/>
        <w:ind w:left="993" w:hanging="633"/>
        <w:contextualSpacing w:val="0"/>
        <w:rPr>
          <w:lang w:val="en-GB"/>
        </w:rPr>
      </w:pPr>
      <w:r w:rsidRPr="008271AC">
        <w:rPr>
          <w:lang w:val="en-GB"/>
        </w:rPr>
        <w:t>Works Experience</w:t>
      </w:r>
    </w:p>
    <w:p w14:paraId="212B86D7" w14:textId="52F6394A" w:rsidR="0090518D" w:rsidRPr="008271AC" w:rsidRDefault="007927EC" w:rsidP="00F7614F">
      <w:pPr>
        <w:pStyle w:val="a5"/>
        <w:numPr>
          <w:ilvl w:val="1"/>
          <w:numId w:val="6"/>
        </w:numPr>
        <w:spacing w:before="0" w:after="60" w:line="240" w:lineRule="auto"/>
        <w:ind w:left="1497" w:hanging="448"/>
        <w:contextualSpacing w:val="0"/>
        <w:rPr>
          <w:lang w:val="en-GB"/>
        </w:rPr>
      </w:pPr>
      <w:bookmarkStart w:id="9" w:name="_Hlk134553451"/>
      <w:r w:rsidRPr="008271AC">
        <w:rPr>
          <w:lang w:val="en-GB"/>
        </w:rPr>
        <w:t>The average value of</w:t>
      </w:r>
      <w:r w:rsidR="0090518D" w:rsidRPr="008271AC">
        <w:rPr>
          <w:lang w:val="en-GB"/>
        </w:rPr>
        <w:t xml:space="preserve"> </w:t>
      </w:r>
      <w:r w:rsidR="00C26CC8" w:rsidRPr="008271AC">
        <w:rPr>
          <w:lang w:val="en-GB"/>
        </w:rPr>
        <w:t xml:space="preserve">the </w:t>
      </w:r>
      <w:r w:rsidR="0090518D" w:rsidRPr="008271AC">
        <w:rPr>
          <w:lang w:val="en-GB"/>
        </w:rPr>
        <w:t xml:space="preserve">best three </w:t>
      </w:r>
      <w:bookmarkEnd w:id="9"/>
      <w:r w:rsidR="0090518D" w:rsidRPr="008271AC">
        <w:rPr>
          <w:lang w:val="en-GB"/>
        </w:rPr>
        <w:t xml:space="preserve">(3) </w:t>
      </w:r>
      <w:r w:rsidR="00447C2B" w:rsidRPr="008271AC">
        <w:rPr>
          <w:lang w:val="en-GB"/>
        </w:rPr>
        <w:t xml:space="preserve">similar </w:t>
      </w:r>
      <w:r w:rsidR="0090518D" w:rsidRPr="008271AC">
        <w:rPr>
          <w:lang w:val="en-GB"/>
        </w:rPr>
        <w:t>contracts during</w:t>
      </w:r>
      <w:r w:rsidR="00C26CC8" w:rsidRPr="008271AC">
        <w:rPr>
          <w:lang w:val="en-GB"/>
        </w:rPr>
        <w:t xml:space="preserve"> the </w:t>
      </w:r>
      <w:r w:rsidR="0090518D" w:rsidRPr="008271AC">
        <w:rPr>
          <w:lang w:val="en-GB"/>
        </w:rPr>
        <w:t xml:space="preserve">last five (5) years </w:t>
      </w:r>
      <w:r w:rsidR="004567E7" w:rsidRPr="008271AC">
        <w:rPr>
          <w:lang w:val="en-GB"/>
        </w:rPr>
        <w:t xml:space="preserve">is </w:t>
      </w:r>
      <w:r w:rsidR="0090518D" w:rsidRPr="008271AC">
        <w:rPr>
          <w:lang w:val="en-GB"/>
        </w:rPr>
        <w:t xml:space="preserve">not less than: </w:t>
      </w:r>
      <w:r w:rsidR="00E86629" w:rsidRPr="008271AC">
        <w:rPr>
          <w:lang w:val="en-GB"/>
        </w:rPr>
        <w:t>1.</w:t>
      </w:r>
      <w:r w:rsidR="005012CA">
        <w:rPr>
          <w:lang w:val="en-GB"/>
        </w:rPr>
        <w:t>2</w:t>
      </w:r>
      <w:r w:rsidR="00897B98" w:rsidRPr="008271AC">
        <w:rPr>
          <w:lang w:val="en-GB"/>
        </w:rPr>
        <w:t xml:space="preserve"> million euros</w:t>
      </w:r>
    </w:p>
    <w:bookmarkEnd w:id="8"/>
    <w:p w14:paraId="75A2097A" w14:textId="467C592C" w:rsidR="00C26CC8" w:rsidRPr="00C47279" w:rsidRDefault="00C26CC8" w:rsidP="00525309">
      <w:pPr>
        <w:spacing w:before="0" w:after="60" w:line="240" w:lineRule="auto"/>
        <w:rPr>
          <w:lang w:val="en-GB"/>
        </w:rPr>
      </w:pPr>
      <w:r w:rsidRPr="008271AC">
        <w:rPr>
          <w:lang w:val="en-GB"/>
        </w:rPr>
        <w:t>Comments:</w:t>
      </w:r>
    </w:p>
    <w:p w14:paraId="34A22386" w14:textId="6C3C812E" w:rsidR="00C26CC8" w:rsidRPr="00C47279" w:rsidRDefault="0064472C" w:rsidP="00326760">
      <w:pPr>
        <w:pStyle w:val="a5"/>
        <w:numPr>
          <w:ilvl w:val="0"/>
          <w:numId w:val="15"/>
        </w:numPr>
        <w:spacing w:before="0" w:after="60" w:line="240" w:lineRule="auto"/>
        <w:ind w:left="714" w:hanging="357"/>
        <w:contextualSpacing w:val="0"/>
        <w:rPr>
          <w:lang w:val="en-GB"/>
        </w:rPr>
      </w:pPr>
      <w:r w:rsidRPr="00C47279">
        <w:rPr>
          <w:lang w:val="en-GB"/>
        </w:rPr>
        <w:t>For 2) above, v</w:t>
      </w:r>
      <w:r w:rsidR="00C26CC8" w:rsidRPr="00C47279">
        <w:rPr>
          <w:lang w:val="en-GB"/>
        </w:rPr>
        <w:t xml:space="preserve">alues </w:t>
      </w:r>
      <w:r w:rsidR="004567E7" w:rsidRPr="00C47279">
        <w:rPr>
          <w:lang w:val="en-GB"/>
        </w:rPr>
        <w:t xml:space="preserve">presented </w:t>
      </w:r>
      <w:r w:rsidR="00C26CC8" w:rsidRPr="00C47279">
        <w:rPr>
          <w:lang w:val="en-GB"/>
        </w:rPr>
        <w:t>in UAH will be converted into euro using the official data of the NBU for the relevant year</w:t>
      </w:r>
      <w:r w:rsidR="000922DA" w:rsidRPr="00C47279">
        <w:rPr>
          <w:lang w:val="en-GB"/>
        </w:rPr>
        <w:t xml:space="preserve"> (</w:t>
      </w:r>
      <w:r w:rsidR="0063594E" w:rsidRPr="00C47279">
        <w:rPr>
          <w:lang w:val="en-GB"/>
        </w:rPr>
        <w:t xml:space="preserve">average </w:t>
      </w:r>
      <w:r w:rsidR="000922DA" w:rsidRPr="00C47279">
        <w:rPr>
          <w:lang w:val="en-GB"/>
        </w:rPr>
        <w:t>annual value)</w:t>
      </w:r>
      <w:r w:rsidR="00C26CC8" w:rsidRPr="00C47279">
        <w:rPr>
          <w:lang w:val="en-GB"/>
        </w:rPr>
        <w:t>, published on the website of the National Bank of Ukraine (</w:t>
      </w:r>
      <w:hyperlink r:id="rId11" w:history="1">
        <w:r w:rsidR="00662B0F" w:rsidRPr="00C47279">
          <w:rPr>
            <w:rStyle w:val="ae"/>
            <w:lang w:val="en-GB"/>
          </w:rPr>
          <w:t>https://bank.gov.ua/files/Exchange_r.xls</w:t>
        </w:r>
      </w:hyperlink>
      <w:r w:rsidR="00C26CC8" w:rsidRPr="00C47279">
        <w:rPr>
          <w:lang w:val="en-GB"/>
        </w:rPr>
        <w:t>)</w:t>
      </w:r>
    </w:p>
    <w:p w14:paraId="757A1D84" w14:textId="79EB9F28" w:rsidR="00662B0F" w:rsidRPr="00C47279" w:rsidRDefault="00662B0F" w:rsidP="00326760">
      <w:pPr>
        <w:pStyle w:val="a5"/>
        <w:numPr>
          <w:ilvl w:val="0"/>
          <w:numId w:val="15"/>
        </w:numPr>
        <w:spacing w:before="0" w:after="60" w:line="240" w:lineRule="auto"/>
        <w:ind w:left="714" w:hanging="357"/>
        <w:contextualSpacing w:val="0"/>
        <w:rPr>
          <w:lang w:val="en-GB"/>
        </w:rPr>
      </w:pPr>
      <w:r w:rsidRPr="00C47279">
        <w:rPr>
          <w:lang w:val="en-GB"/>
        </w:rPr>
        <w:t xml:space="preserve">For </w:t>
      </w:r>
      <w:r w:rsidR="0064472C" w:rsidRPr="00C47279">
        <w:rPr>
          <w:lang w:val="en-GB"/>
        </w:rPr>
        <w:t>2</w:t>
      </w:r>
      <w:r w:rsidRPr="00C47279">
        <w:rPr>
          <w:lang w:val="en-GB"/>
        </w:rPr>
        <w:t>) above</w:t>
      </w:r>
      <w:r w:rsidR="004567E7" w:rsidRPr="00C47279">
        <w:rPr>
          <w:lang w:val="en-GB"/>
        </w:rPr>
        <w:t>,</w:t>
      </w:r>
      <w:r w:rsidRPr="00C47279">
        <w:rPr>
          <w:lang w:val="en-GB"/>
        </w:rPr>
        <w:t xml:space="preserve"> at least </w:t>
      </w:r>
      <w:r w:rsidR="004853C2" w:rsidRPr="00C47279">
        <w:rPr>
          <w:lang w:val="en-GB"/>
        </w:rPr>
        <w:t>51</w:t>
      </w:r>
      <w:r w:rsidRPr="00C47279">
        <w:rPr>
          <w:lang w:val="en-GB"/>
        </w:rPr>
        <w:t>% of the required revenue must, in case of a</w:t>
      </w:r>
      <w:r w:rsidR="00E8452D" w:rsidRPr="00C47279">
        <w:rPr>
          <w:lang w:val="en-GB"/>
        </w:rPr>
        <w:t xml:space="preserve"> joint venture or consortium agreement (JVCA)</w:t>
      </w:r>
      <w:r w:rsidRPr="00C47279">
        <w:rPr>
          <w:lang w:val="en-GB"/>
        </w:rPr>
        <w:t>, come from the lead partner</w:t>
      </w:r>
    </w:p>
    <w:p w14:paraId="3FB86276" w14:textId="61E8AEE0" w:rsidR="00397C1E" w:rsidRPr="00C47279" w:rsidRDefault="00397C1E" w:rsidP="00397C1E">
      <w:pPr>
        <w:pStyle w:val="a5"/>
        <w:numPr>
          <w:ilvl w:val="0"/>
          <w:numId w:val="15"/>
        </w:numPr>
        <w:spacing w:before="0" w:after="60" w:line="240" w:lineRule="auto"/>
        <w:ind w:left="714" w:hanging="357"/>
        <w:contextualSpacing w:val="0"/>
        <w:rPr>
          <w:lang w:val="en-GB"/>
        </w:rPr>
      </w:pPr>
      <w:r w:rsidRPr="00C47279">
        <w:rPr>
          <w:lang w:val="en-GB"/>
        </w:rPr>
        <w:t>For 3) above, values presented in UAH will be converted into euro using the official data of the NBU for the date of conclusion of the contract, published on the website of the National Bank of Ukraine (</w:t>
      </w:r>
      <w:hyperlink r:id="rId12" w:history="1">
        <w:r w:rsidRPr="00C47279">
          <w:rPr>
            <w:rStyle w:val="ae"/>
            <w:lang w:val="en-GB"/>
          </w:rPr>
          <w:t>https://bank.gov.ua/ua/markets/exchangerates</w:t>
        </w:r>
      </w:hyperlink>
      <w:r w:rsidRPr="00C47279">
        <w:rPr>
          <w:lang w:val="en-GB"/>
        </w:rPr>
        <w:t>)</w:t>
      </w:r>
    </w:p>
    <w:p w14:paraId="37340A4B" w14:textId="7C3C809D" w:rsidR="00EE6C10" w:rsidRPr="00AD13F5" w:rsidRDefault="00EE6C10" w:rsidP="00326760">
      <w:pPr>
        <w:pStyle w:val="a5"/>
        <w:numPr>
          <w:ilvl w:val="0"/>
          <w:numId w:val="15"/>
        </w:numPr>
        <w:spacing w:before="0" w:after="60" w:line="240" w:lineRule="auto"/>
        <w:ind w:left="714" w:hanging="357"/>
        <w:contextualSpacing w:val="0"/>
        <w:rPr>
          <w:lang w:val="en-GB"/>
        </w:rPr>
      </w:pPr>
      <w:r w:rsidRPr="00A742E7">
        <w:rPr>
          <w:lang w:val="en-GB"/>
        </w:rPr>
        <w:t xml:space="preserve">For </w:t>
      </w:r>
      <w:r w:rsidR="0064472C" w:rsidRPr="00A742E7">
        <w:rPr>
          <w:lang w:val="en-GB"/>
        </w:rPr>
        <w:t>3</w:t>
      </w:r>
      <w:r w:rsidRPr="00A742E7">
        <w:rPr>
          <w:lang w:val="en-GB"/>
        </w:rPr>
        <w:t>) above</w:t>
      </w:r>
      <w:r w:rsidR="004567E7" w:rsidRPr="00A742E7">
        <w:rPr>
          <w:lang w:val="en-GB"/>
        </w:rPr>
        <w:t>,</w:t>
      </w:r>
      <w:r w:rsidRPr="00A742E7">
        <w:rPr>
          <w:lang w:val="en-GB"/>
        </w:rPr>
        <w:t xml:space="preserve"> at least two of the required three contract</w:t>
      </w:r>
      <w:r w:rsidR="00F7353E" w:rsidRPr="00A742E7">
        <w:rPr>
          <w:lang w:val="en-GB"/>
        </w:rPr>
        <w:t>s</w:t>
      </w:r>
      <w:r w:rsidRPr="00A742E7">
        <w:rPr>
          <w:lang w:val="en-GB"/>
        </w:rPr>
        <w:t xml:space="preserve"> must, in case of a </w:t>
      </w:r>
      <w:r w:rsidR="004567E7" w:rsidRPr="00AD13F5">
        <w:rPr>
          <w:lang w:val="en-GB"/>
        </w:rPr>
        <w:t>JV</w:t>
      </w:r>
      <w:r w:rsidR="00E418F5" w:rsidRPr="00AD13F5">
        <w:rPr>
          <w:lang w:val="en-GB"/>
        </w:rPr>
        <w:t>CA</w:t>
      </w:r>
      <w:r w:rsidRPr="00AD13F5">
        <w:rPr>
          <w:lang w:val="en-GB"/>
        </w:rPr>
        <w:t>, come from the lead partner</w:t>
      </w:r>
    </w:p>
    <w:p w14:paraId="5669D065" w14:textId="7006E57D" w:rsidR="00026C21" w:rsidRPr="00AD13F5" w:rsidRDefault="005012CA" w:rsidP="00326760">
      <w:pPr>
        <w:pStyle w:val="a5"/>
        <w:numPr>
          <w:ilvl w:val="0"/>
          <w:numId w:val="15"/>
        </w:numPr>
        <w:spacing w:before="0" w:after="60" w:line="240" w:lineRule="auto"/>
        <w:ind w:left="714" w:hanging="357"/>
        <w:contextualSpacing w:val="0"/>
        <w:rPr>
          <w:lang w:val="en-GB"/>
        </w:rPr>
      </w:pPr>
      <w:r w:rsidRPr="00312516">
        <w:rPr>
          <w:lang w:val="en-GB"/>
        </w:rPr>
        <w:t xml:space="preserve">For 3) above, "similar contracts" means construction of blocks of flats of at least </w:t>
      </w:r>
      <w:r w:rsidR="007B1C7E">
        <w:rPr>
          <w:lang w:val="en-GB"/>
        </w:rPr>
        <w:t>five</w:t>
      </w:r>
      <w:r w:rsidRPr="00312516">
        <w:rPr>
          <w:lang w:val="en-GB"/>
        </w:rPr>
        <w:t xml:space="preserve"> floors</w:t>
      </w:r>
      <w:r w:rsidR="00D63503" w:rsidRPr="00D63503">
        <w:rPr>
          <w:lang w:val="en-GB"/>
        </w:rPr>
        <w:t>.</w:t>
      </w:r>
    </w:p>
    <w:p w14:paraId="18EA88B0" w14:textId="4A1A684D" w:rsidR="00F25578" w:rsidRPr="00A742E7" w:rsidRDefault="00F25578" w:rsidP="00326760">
      <w:pPr>
        <w:pStyle w:val="a5"/>
        <w:numPr>
          <w:ilvl w:val="0"/>
          <w:numId w:val="15"/>
        </w:numPr>
        <w:spacing w:before="0" w:after="60" w:line="240" w:lineRule="auto"/>
        <w:ind w:left="714" w:hanging="357"/>
        <w:contextualSpacing w:val="0"/>
        <w:rPr>
          <w:lang w:val="en-GB"/>
        </w:rPr>
      </w:pPr>
      <w:r w:rsidRPr="00A742E7">
        <w:rPr>
          <w:lang w:val="en-GB"/>
        </w:rPr>
        <w:lastRenderedPageBreak/>
        <w:t xml:space="preserve">For </w:t>
      </w:r>
      <w:r w:rsidR="0064472C" w:rsidRPr="00A742E7">
        <w:rPr>
          <w:lang w:val="en-GB"/>
        </w:rPr>
        <w:t>3</w:t>
      </w:r>
      <w:r w:rsidRPr="00A742E7">
        <w:rPr>
          <w:lang w:val="en-GB"/>
        </w:rPr>
        <w:t>) above</w:t>
      </w:r>
      <w:r w:rsidR="004567E7" w:rsidRPr="00A742E7">
        <w:rPr>
          <w:lang w:val="en-GB"/>
        </w:rPr>
        <w:t>,</w:t>
      </w:r>
      <w:r w:rsidRPr="00A742E7">
        <w:rPr>
          <w:lang w:val="en-GB"/>
        </w:rPr>
        <w:t xml:space="preserve"> the applicant shall have been the main contractor</w:t>
      </w:r>
      <w:r w:rsidR="00C51352" w:rsidRPr="00A742E7">
        <w:rPr>
          <w:lang w:val="en-GB"/>
        </w:rPr>
        <w:t xml:space="preserve"> or the project manager</w:t>
      </w:r>
      <w:r w:rsidRPr="00A742E7">
        <w:rPr>
          <w:lang w:val="en-GB"/>
        </w:rPr>
        <w:t xml:space="preserve"> </w:t>
      </w:r>
      <w:r w:rsidR="00C51352" w:rsidRPr="00A742E7">
        <w:rPr>
          <w:lang w:val="en-GB"/>
        </w:rPr>
        <w:t xml:space="preserve">or equivalent </w:t>
      </w:r>
      <w:r w:rsidRPr="00A742E7">
        <w:rPr>
          <w:lang w:val="en-GB"/>
        </w:rPr>
        <w:t>for the contracts</w:t>
      </w:r>
      <w:r w:rsidR="001F49D3">
        <w:t>.</w:t>
      </w:r>
    </w:p>
    <w:p w14:paraId="087A5926" w14:textId="15D5E762" w:rsidR="00A742E7" w:rsidRDefault="00A742E7">
      <w:pPr>
        <w:spacing w:before="0" w:after="0" w:line="240" w:lineRule="auto"/>
        <w:rPr>
          <w:b/>
          <w:bCs/>
          <w:lang w:val="en-GB"/>
        </w:rPr>
      </w:pPr>
      <w:bookmarkStart w:id="10" w:name="_Hlk134551203"/>
    </w:p>
    <w:p w14:paraId="57B4D2D5" w14:textId="75994150" w:rsidR="005565A4" w:rsidRDefault="005565A4" w:rsidP="00F7614F">
      <w:pPr>
        <w:spacing w:before="0" w:after="0" w:line="240" w:lineRule="auto"/>
        <w:rPr>
          <w:b/>
          <w:bCs/>
          <w:lang w:val="en-GB"/>
        </w:rPr>
      </w:pPr>
      <w:r w:rsidRPr="00C47279">
        <w:rPr>
          <w:b/>
          <w:bCs/>
          <w:lang w:val="en-GB"/>
        </w:rPr>
        <w:t xml:space="preserve">Brief description of </w:t>
      </w:r>
      <w:r w:rsidR="005012CA">
        <w:rPr>
          <w:b/>
          <w:bCs/>
          <w:lang w:val="en-GB"/>
        </w:rPr>
        <w:t xml:space="preserve">the </w:t>
      </w:r>
      <w:r w:rsidRPr="00C47279">
        <w:rPr>
          <w:b/>
          <w:bCs/>
          <w:lang w:val="en-GB"/>
        </w:rPr>
        <w:t>project</w:t>
      </w:r>
      <w:r w:rsidR="001B32F5">
        <w:rPr>
          <w:b/>
          <w:bCs/>
          <w:lang w:val="en-GB"/>
        </w:rPr>
        <w:t xml:space="preserve"> </w:t>
      </w:r>
    </w:p>
    <w:p w14:paraId="56778440" w14:textId="77777777" w:rsidR="005012CA" w:rsidRDefault="005565A4" w:rsidP="005012CA">
      <w:pPr>
        <w:spacing w:line="240" w:lineRule="auto"/>
        <w:rPr>
          <w:lang w:val="en-GB"/>
        </w:rPr>
      </w:pPr>
      <w:r w:rsidRPr="00C47279">
        <w:rPr>
          <w:b/>
          <w:bCs/>
          <w:i/>
          <w:iCs/>
          <w:lang w:val="en-GB"/>
        </w:rPr>
        <w:t>Contract Form</w:t>
      </w:r>
      <w:r w:rsidR="001B32F5">
        <w:rPr>
          <w:b/>
          <w:bCs/>
          <w:i/>
          <w:iCs/>
          <w:lang w:val="en-GB"/>
        </w:rPr>
        <w:t xml:space="preserve">: </w:t>
      </w:r>
      <w:r w:rsidRPr="00C47279">
        <w:rPr>
          <w:lang w:val="en-GB"/>
        </w:rPr>
        <w:t xml:space="preserve">The contract will be a works contract based on design supplied in the tender documents. The contractor shall be responsible for the complete </w:t>
      </w:r>
      <w:r w:rsidR="006538E1" w:rsidRPr="00C47279">
        <w:rPr>
          <w:lang w:val="en-GB"/>
        </w:rPr>
        <w:t xml:space="preserve">works </w:t>
      </w:r>
      <w:r w:rsidRPr="00C47279">
        <w:rPr>
          <w:lang w:val="en-GB"/>
        </w:rPr>
        <w:t>including project management, quality assurance, supply of all material</w:t>
      </w:r>
      <w:r w:rsidR="006538E1" w:rsidRPr="00C47279">
        <w:rPr>
          <w:lang w:val="en-GB"/>
        </w:rPr>
        <w:t xml:space="preserve"> and components</w:t>
      </w:r>
      <w:r w:rsidRPr="00C47279">
        <w:rPr>
          <w:lang w:val="en-GB"/>
        </w:rPr>
        <w:t>, groundworks, erection of the buildings, installations, fitting out (including furniture and other equipment), commissioning and warranty.</w:t>
      </w:r>
    </w:p>
    <w:p w14:paraId="749CCFB2" w14:textId="0C273060" w:rsidR="005012CA" w:rsidRPr="00F65BD0" w:rsidRDefault="005012CA" w:rsidP="005012CA">
      <w:pPr>
        <w:spacing w:line="240" w:lineRule="auto"/>
      </w:pPr>
      <w:r w:rsidRPr="00F65BD0">
        <w:rPr>
          <w:lang w:val="en-GB"/>
        </w:rPr>
        <w:t>This Project is aimed at building from scratch a residential building to provide housing for IDPs with satisfactory living conditions and social infrastructure nearby.</w:t>
      </w:r>
    </w:p>
    <w:p w14:paraId="3ED8DB99" w14:textId="77777777" w:rsidR="005012CA" w:rsidRPr="00F65BD0" w:rsidRDefault="005012CA" w:rsidP="005012CA">
      <w:pPr>
        <w:spacing w:line="240" w:lineRule="auto"/>
        <w:jc w:val="both"/>
        <w:rPr>
          <w:lang w:val="en-GB"/>
        </w:rPr>
      </w:pPr>
      <w:r w:rsidRPr="00F65BD0">
        <w:rPr>
          <w:b/>
          <w:u w:val="single"/>
          <w:lang w:val="en-GB"/>
        </w:rPr>
        <w:t>Land plot:</w:t>
      </w:r>
      <w:r w:rsidRPr="00F65BD0">
        <w:rPr>
          <w:lang w:val="en-GB"/>
        </w:rPr>
        <w:t xml:space="preserve"> the selected land plot (0.41 ha, adjacent to Chervoniya St.) is located in a residential area of communal property, with existing infrastructure (roads, transport, kindergarten, school, medical care). All permission documents for the land plot have been issued. Pre-project and project documentation is available.</w:t>
      </w:r>
    </w:p>
    <w:p w14:paraId="206D40D8" w14:textId="77777777" w:rsidR="005012CA" w:rsidRPr="00F65BD0" w:rsidRDefault="005012CA" w:rsidP="005012CA">
      <w:pPr>
        <w:spacing w:line="240" w:lineRule="auto"/>
        <w:jc w:val="both"/>
        <w:rPr>
          <w:lang w:val="en-GB"/>
        </w:rPr>
      </w:pPr>
      <w:r w:rsidRPr="00F65BD0">
        <w:rPr>
          <w:b/>
          <w:u w:val="single"/>
          <w:lang w:val="en-GB"/>
        </w:rPr>
        <w:t>Connection to communications:</w:t>
      </w:r>
      <w:r w:rsidRPr="00F65BD0">
        <w:rPr>
          <w:b/>
          <w:lang w:val="en-GB"/>
        </w:rPr>
        <w:t xml:space="preserve"> </w:t>
      </w:r>
      <w:r w:rsidRPr="00F65BD0">
        <w:rPr>
          <w:lang w:val="en-GB"/>
        </w:rPr>
        <w:t>the building will be heated from the existing heat supply system. It is planned that the connection of the above-mentioned object to local engineering networks (water supply, drainage, electricity supply, heat supply, fire hydrant), as well as the construction of a bomb shelter (shelter) and the improvement of the area around the building/building area will be financed at the expense of local budget funds of the city of Dubno.</w:t>
      </w:r>
    </w:p>
    <w:p w14:paraId="1A5D6428" w14:textId="77777777" w:rsidR="005012CA" w:rsidRPr="00F65BD0" w:rsidRDefault="005012CA" w:rsidP="005012CA">
      <w:pPr>
        <w:spacing w:line="240" w:lineRule="auto"/>
        <w:jc w:val="both"/>
        <w:rPr>
          <w:lang w:val="en-GB"/>
        </w:rPr>
      </w:pPr>
      <w:r w:rsidRPr="00F65BD0">
        <w:rPr>
          <w:b/>
          <w:u w:val="single"/>
          <w:lang w:val="en-GB"/>
        </w:rPr>
        <w:t>Tenure of buildings:</w:t>
      </w:r>
      <w:r w:rsidRPr="00F65BD0">
        <w:rPr>
          <w:lang w:val="en-GB"/>
        </w:rPr>
        <w:t xml:space="preserve"> Newly built social housing buildings that have been financed by an EU grant must remain in community ownership for at least 10 years after completion of construction. For at least the first five years, this building must be used only to provide housing for internally displaced persons. In the event that demand for IDP housing ceases at the end of the five-year period, the building must be used as an alternative for social housing purposes to accommodate other vulnerable populations.</w:t>
      </w:r>
    </w:p>
    <w:p w14:paraId="0BD8032A" w14:textId="77777777" w:rsidR="005012CA" w:rsidRPr="00F65BD0" w:rsidRDefault="005012CA" w:rsidP="005012CA">
      <w:pPr>
        <w:spacing w:line="240" w:lineRule="auto"/>
        <w:jc w:val="both"/>
        <w:rPr>
          <w:lang w:val="en-GB"/>
        </w:rPr>
      </w:pPr>
      <w:r w:rsidRPr="00F65BD0">
        <w:rPr>
          <w:b/>
          <w:u w:val="single"/>
          <w:lang w:val="en-GB"/>
        </w:rPr>
        <w:t>Allocation of social housing:</w:t>
      </w:r>
      <w:r w:rsidRPr="00F65BD0">
        <w:rPr>
          <w:lang w:val="en-GB"/>
        </w:rPr>
        <w:t xml:space="preserve"> the expected minimum number of IDPs that can be accommodated in a residential building is about 333 people. This number may be higher and will depend on the final architectural decisions and placement approach.</w:t>
      </w:r>
    </w:p>
    <w:p w14:paraId="442826E1" w14:textId="4CD2DA32" w:rsidR="001B32F5" w:rsidRDefault="005012CA" w:rsidP="005012CA">
      <w:pPr>
        <w:spacing w:line="240" w:lineRule="auto"/>
        <w:rPr>
          <w:b/>
          <w:bCs/>
          <w:lang w:val="en-GB"/>
        </w:rPr>
      </w:pPr>
      <w:r w:rsidRPr="00F65BD0">
        <w:rPr>
          <w:lang w:val="en-GB"/>
        </w:rPr>
        <w:t>Residential premises are provided free of charge to IDPs and their family members for temporary use for a period of up to one year with the possibility of extension for the next period in accordance with the above-mentioned Resolution No. 495 of the Cabinet of Ministers of Ukraine. When providing living quarters for IDPs in houses built under the program, it is necessary to apply all the requirements of Resolution No. 495 regarding children and gender priorities.</w:t>
      </w:r>
      <w:bookmarkEnd w:id="10"/>
      <w:r w:rsidR="007B1C7E">
        <w:rPr>
          <w:lang w:val="en-GB"/>
        </w:rPr>
        <w:t xml:space="preserve"> </w:t>
      </w:r>
      <w:r w:rsidR="007B1C7E" w:rsidRPr="007B1C7E">
        <w:rPr>
          <w:lang w:val="en-GB"/>
        </w:rPr>
        <w:t>Privatization of apartments in houses built under this program is prohibited.</w:t>
      </w:r>
    </w:p>
    <w:p w14:paraId="37EDAFBF" w14:textId="527BEA70" w:rsidR="005565A4" w:rsidRPr="00C47279" w:rsidRDefault="005565A4" w:rsidP="00C60A18">
      <w:pPr>
        <w:spacing w:before="0" w:after="0" w:line="240" w:lineRule="auto"/>
        <w:jc w:val="both"/>
        <w:rPr>
          <w:b/>
          <w:bCs/>
          <w:lang w:val="en-GB"/>
        </w:rPr>
      </w:pPr>
      <w:r w:rsidRPr="00C47279">
        <w:rPr>
          <w:b/>
          <w:bCs/>
          <w:lang w:val="en-GB"/>
        </w:rPr>
        <w:lastRenderedPageBreak/>
        <w:t>In</w:t>
      </w:r>
      <w:r w:rsidR="00604FF1" w:rsidRPr="00C47279">
        <w:rPr>
          <w:b/>
          <w:bCs/>
          <w:lang w:val="en-GB"/>
        </w:rPr>
        <w:t>formation</w:t>
      </w:r>
      <w:r w:rsidRPr="00C47279">
        <w:rPr>
          <w:b/>
          <w:bCs/>
          <w:lang w:val="en-GB"/>
        </w:rPr>
        <w:t xml:space="preserve"> to the applicants</w:t>
      </w:r>
    </w:p>
    <w:p w14:paraId="24165CBA" w14:textId="08F0196D" w:rsidR="005565A4" w:rsidRPr="00C47279" w:rsidRDefault="005565A4" w:rsidP="005565A4">
      <w:pPr>
        <w:spacing w:before="0" w:after="0" w:line="240" w:lineRule="auto"/>
        <w:rPr>
          <w:b/>
          <w:bCs/>
          <w:lang w:val="en-GB"/>
        </w:rPr>
      </w:pPr>
    </w:p>
    <w:p w14:paraId="1CBE6DA0" w14:textId="6744F23C" w:rsidR="005565A4" w:rsidRPr="00C47279" w:rsidRDefault="005565A4" w:rsidP="00F7614F">
      <w:pPr>
        <w:keepNext/>
        <w:spacing w:before="0" w:after="0" w:line="240" w:lineRule="auto"/>
        <w:rPr>
          <w:b/>
          <w:bCs/>
          <w:i/>
          <w:iCs/>
          <w:lang w:val="en-GB"/>
        </w:rPr>
      </w:pPr>
      <w:r w:rsidRPr="00C47279">
        <w:rPr>
          <w:b/>
          <w:bCs/>
          <w:i/>
          <w:iCs/>
          <w:lang w:val="en-GB"/>
        </w:rPr>
        <w:t>Late applications</w:t>
      </w:r>
    </w:p>
    <w:p w14:paraId="35588ED8" w14:textId="101C75E8" w:rsidR="005565A4" w:rsidRPr="00C47279" w:rsidRDefault="005565A4" w:rsidP="00F7614F">
      <w:pPr>
        <w:pStyle w:val="a5"/>
        <w:numPr>
          <w:ilvl w:val="0"/>
          <w:numId w:val="16"/>
        </w:numPr>
        <w:spacing w:line="240" w:lineRule="auto"/>
        <w:ind w:left="714" w:hanging="714"/>
        <w:rPr>
          <w:lang w:val="en-GB"/>
        </w:rPr>
      </w:pPr>
      <w:r w:rsidRPr="00C47279">
        <w:rPr>
          <w:lang w:val="en-GB"/>
        </w:rPr>
        <w:t>The Employer reserves the right to accept applications received after the deadline for submission of applications.</w:t>
      </w:r>
    </w:p>
    <w:p w14:paraId="687D65D8" w14:textId="1F8D6D6E" w:rsidR="005565A4" w:rsidRPr="00C47279" w:rsidRDefault="00920FFA" w:rsidP="00F7614F">
      <w:pPr>
        <w:keepNext/>
        <w:spacing w:before="0" w:after="0" w:line="240" w:lineRule="auto"/>
        <w:rPr>
          <w:b/>
          <w:bCs/>
          <w:i/>
          <w:iCs/>
          <w:lang w:val="en-GB"/>
        </w:rPr>
      </w:pPr>
      <w:r w:rsidRPr="00C47279">
        <w:rPr>
          <w:b/>
          <w:bCs/>
          <w:i/>
          <w:iCs/>
          <w:lang w:val="en-GB"/>
        </w:rPr>
        <w:t>Responsiveness</w:t>
      </w:r>
    </w:p>
    <w:p w14:paraId="6683FABF" w14:textId="79B25740" w:rsidR="005565A4" w:rsidRPr="00C47279" w:rsidRDefault="005565A4" w:rsidP="00F7614F">
      <w:pPr>
        <w:pStyle w:val="a5"/>
        <w:numPr>
          <w:ilvl w:val="0"/>
          <w:numId w:val="16"/>
        </w:numPr>
        <w:spacing w:line="240" w:lineRule="auto"/>
        <w:ind w:left="714" w:hanging="714"/>
        <w:contextualSpacing w:val="0"/>
        <w:rPr>
          <w:lang w:val="en-GB"/>
        </w:rPr>
      </w:pPr>
      <w:r w:rsidRPr="00C47279">
        <w:rPr>
          <w:lang w:val="en-GB"/>
        </w:rPr>
        <w:t>The Employer’s determination of an Applicant’s responsiveness is to be based on the contents of the Application itself.</w:t>
      </w:r>
    </w:p>
    <w:p w14:paraId="28033B8B" w14:textId="77777777" w:rsidR="00F7614F" w:rsidRPr="00C47279" w:rsidRDefault="005565A4" w:rsidP="00F7614F">
      <w:pPr>
        <w:pStyle w:val="a5"/>
        <w:numPr>
          <w:ilvl w:val="0"/>
          <w:numId w:val="16"/>
        </w:numPr>
        <w:spacing w:line="240" w:lineRule="auto"/>
        <w:ind w:left="714" w:hanging="714"/>
        <w:contextualSpacing w:val="0"/>
        <w:rPr>
          <w:lang w:val="en-GB"/>
        </w:rPr>
      </w:pPr>
      <w:r w:rsidRPr="00C47279">
        <w:rPr>
          <w:lang w:val="en-GB"/>
        </w:rPr>
        <w:t>A substantially responsive Application is one that meets the requirements of th</w:t>
      </w:r>
      <w:r w:rsidR="00E24CE5" w:rsidRPr="00C47279">
        <w:rPr>
          <w:lang w:val="en-GB"/>
        </w:rPr>
        <w:t>is</w:t>
      </w:r>
      <w:r w:rsidRPr="00C47279">
        <w:rPr>
          <w:lang w:val="en-GB"/>
        </w:rPr>
        <w:t xml:space="preserve"> </w:t>
      </w:r>
      <w:r w:rsidR="00E24CE5" w:rsidRPr="00C47279">
        <w:rPr>
          <w:lang w:val="en-GB"/>
        </w:rPr>
        <w:t>invitation</w:t>
      </w:r>
      <w:r w:rsidRPr="00C47279">
        <w:rPr>
          <w:lang w:val="en-GB"/>
        </w:rPr>
        <w:t xml:space="preserve"> without material deviation, reservation, or omission.</w:t>
      </w:r>
    </w:p>
    <w:p w14:paraId="50DA6853" w14:textId="2459E718" w:rsidR="00F7614F" w:rsidRPr="00C47279" w:rsidRDefault="005565A4" w:rsidP="00F7614F">
      <w:pPr>
        <w:pStyle w:val="a5"/>
        <w:numPr>
          <w:ilvl w:val="1"/>
          <w:numId w:val="16"/>
        </w:numPr>
        <w:spacing w:line="240" w:lineRule="auto"/>
        <w:ind w:left="1276" w:hanging="425"/>
        <w:contextualSpacing w:val="0"/>
        <w:rPr>
          <w:lang w:val="en-GB"/>
        </w:rPr>
      </w:pPr>
      <w:r w:rsidRPr="00C47279">
        <w:rPr>
          <w:lang w:val="en-GB"/>
        </w:rPr>
        <w:t>“Deviation” is a departure from the requirements specified in</w:t>
      </w:r>
      <w:r w:rsidR="00E24CE5" w:rsidRPr="00C47279">
        <w:rPr>
          <w:lang w:val="en-GB"/>
        </w:rPr>
        <w:t xml:space="preserve"> this</w:t>
      </w:r>
      <w:r w:rsidRPr="00C47279">
        <w:rPr>
          <w:lang w:val="en-GB"/>
        </w:rPr>
        <w:t xml:space="preserve"> </w:t>
      </w:r>
      <w:r w:rsidR="00E24CE5" w:rsidRPr="00C47279">
        <w:rPr>
          <w:lang w:val="en-GB"/>
        </w:rPr>
        <w:t>invitation</w:t>
      </w:r>
    </w:p>
    <w:p w14:paraId="44221487" w14:textId="61FA0D3B" w:rsidR="005565A4" w:rsidRPr="00C47279" w:rsidRDefault="005565A4" w:rsidP="00F7614F">
      <w:pPr>
        <w:pStyle w:val="a5"/>
        <w:numPr>
          <w:ilvl w:val="1"/>
          <w:numId w:val="16"/>
        </w:numPr>
        <w:spacing w:line="240" w:lineRule="auto"/>
        <w:ind w:left="1276" w:hanging="425"/>
        <w:contextualSpacing w:val="0"/>
        <w:rPr>
          <w:lang w:val="en-GB"/>
        </w:rPr>
      </w:pPr>
      <w:r w:rsidRPr="00C47279">
        <w:rPr>
          <w:lang w:val="en-GB"/>
        </w:rPr>
        <w:t xml:space="preserve">“Reservation” is the setting of limiting conditions or withholding from complete acceptance of the requirements specified in </w:t>
      </w:r>
      <w:r w:rsidR="00E24CE5" w:rsidRPr="00C47279">
        <w:rPr>
          <w:lang w:val="en-GB"/>
        </w:rPr>
        <w:t>this invitation</w:t>
      </w:r>
    </w:p>
    <w:p w14:paraId="6A7A4985" w14:textId="7318AC0E" w:rsidR="005565A4" w:rsidRPr="00C47279" w:rsidRDefault="005565A4" w:rsidP="00F7614F">
      <w:pPr>
        <w:pStyle w:val="a5"/>
        <w:numPr>
          <w:ilvl w:val="1"/>
          <w:numId w:val="16"/>
        </w:numPr>
        <w:spacing w:line="240" w:lineRule="auto"/>
        <w:ind w:left="1276" w:hanging="425"/>
        <w:contextualSpacing w:val="0"/>
        <w:rPr>
          <w:lang w:val="en-GB"/>
        </w:rPr>
      </w:pPr>
      <w:r w:rsidRPr="00C47279">
        <w:rPr>
          <w:lang w:val="en-GB"/>
        </w:rPr>
        <w:t>“Omission” is the failure to submit part or all of the information or documentation required in</w:t>
      </w:r>
      <w:r w:rsidR="00BD020B" w:rsidRPr="00C47279">
        <w:rPr>
          <w:lang w:val="en-GB"/>
        </w:rPr>
        <w:t xml:space="preserve"> this invitation</w:t>
      </w:r>
    </w:p>
    <w:p w14:paraId="366D5690" w14:textId="1886ED3D" w:rsidR="005565A4" w:rsidRPr="00C47279" w:rsidRDefault="005565A4" w:rsidP="00F7614F">
      <w:pPr>
        <w:pStyle w:val="a5"/>
        <w:numPr>
          <w:ilvl w:val="0"/>
          <w:numId w:val="16"/>
        </w:numPr>
        <w:spacing w:line="240" w:lineRule="auto"/>
        <w:ind w:left="714" w:hanging="714"/>
        <w:contextualSpacing w:val="0"/>
        <w:rPr>
          <w:lang w:val="en-GB"/>
        </w:rPr>
      </w:pPr>
      <w:r w:rsidRPr="00C47279">
        <w:rPr>
          <w:lang w:val="en-GB"/>
        </w:rPr>
        <w:t>A material deviation, reservation, or omission is one that</w:t>
      </w:r>
      <w:r w:rsidR="00BD020B" w:rsidRPr="00C47279">
        <w:rPr>
          <w:lang w:val="en-GB"/>
        </w:rPr>
        <w:t xml:space="preserve"> is </w:t>
      </w:r>
      <w:r w:rsidRPr="00C47279">
        <w:rPr>
          <w:lang w:val="en-GB"/>
        </w:rPr>
        <w:t xml:space="preserve">in any substantial way inconsistent with </w:t>
      </w:r>
      <w:r w:rsidR="00BD020B" w:rsidRPr="00C47279">
        <w:rPr>
          <w:lang w:val="en-GB"/>
        </w:rPr>
        <w:t>this invitation</w:t>
      </w:r>
      <w:r w:rsidR="006538E1" w:rsidRPr="00C47279">
        <w:rPr>
          <w:lang w:val="en-GB"/>
        </w:rPr>
        <w:t>.</w:t>
      </w:r>
    </w:p>
    <w:p w14:paraId="2FC976A7" w14:textId="421421E1" w:rsidR="005565A4" w:rsidRPr="00C47279" w:rsidRDefault="005565A4" w:rsidP="00F7614F">
      <w:pPr>
        <w:pStyle w:val="a5"/>
        <w:numPr>
          <w:ilvl w:val="0"/>
          <w:numId w:val="16"/>
        </w:numPr>
        <w:spacing w:line="240" w:lineRule="auto"/>
        <w:ind w:left="714" w:hanging="714"/>
        <w:contextualSpacing w:val="0"/>
        <w:rPr>
          <w:lang w:val="en-GB"/>
        </w:rPr>
      </w:pPr>
      <w:r w:rsidRPr="00C47279">
        <w:rPr>
          <w:lang w:val="en-GB"/>
        </w:rPr>
        <w:t xml:space="preserve">If an Application is not substantially responsive to the requirements of </w:t>
      </w:r>
      <w:r w:rsidR="00BD020B" w:rsidRPr="00C47279">
        <w:rPr>
          <w:lang w:val="en-GB"/>
        </w:rPr>
        <w:t>this invitation</w:t>
      </w:r>
      <w:r w:rsidRPr="00C47279">
        <w:rPr>
          <w:lang w:val="en-GB"/>
        </w:rPr>
        <w:t>, it shall be rejected by the Employer.</w:t>
      </w:r>
    </w:p>
    <w:p w14:paraId="06DAEAAE" w14:textId="77777777" w:rsidR="00F7614F" w:rsidRPr="00C47279" w:rsidRDefault="005565A4" w:rsidP="00F7614F">
      <w:pPr>
        <w:pStyle w:val="a5"/>
        <w:numPr>
          <w:ilvl w:val="0"/>
          <w:numId w:val="16"/>
        </w:numPr>
        <w:spacing w:line="240" w:lineRule="auto"/>
        <w:ind w:left="714" w:hanging="714"/>
        <w:contextualSpacing w:val="0"/>
        <w:rPr>
          <w:lang w:val="en-GB"/>
        </w:rPr>
      </w:pPr>
      <w:r w:rsidRPr="00C47279">
        <w:rPr>
          <w:lang w:val="en-GB"/>
        </w:rPr>
        <w:t>Provided that an Application is substantially responsive, the Employer may waive any quantifiable nonconformity in the Application that does not constitute a material deviation, reservation or omission.</w:t>
      </w:r>
    </w:p>
    <w:p w14:paraId="62295600" w14:textId="65E11476" w:rsidR="005565A4" w:rsidRPr="00C47279" w:rsidRDefault="005565A4" w:rsidP="00F7614F">
      <w:pPr>
        <w:pStyle w:val="a5"/>
        <w:numPr>
          <w:ilvl w:val="0"/>
          <w:numId w:val="16"/>
        </w:numPr>
        <w:spacing w:line="240" w:lineRule="auto"/>
        <w:ind w:left="714" w:hanging="714"/>
        <w:contextualSpacing w:val="0"/>
        <w:rPr>
          <w:lang w:val="en-GB"/>
        </w:rPr>
      </w:pPr>
      <w:r w:rsidRPr="00C47279">
        <w:rPr>
          <w:lang w:val="en-GB"/>
        </w:rPr>
        <w:t>Provided that an Application is substantially responsive, the Employer may request the Applicant to submit any necessary missing information or documentation, within a reasonable period of time, to rectify nonmaterial nonconformities in the Application. Failure of the Applicant to comply with the request may result in the rejection of its Application.</w:t>
      </w:r>
    </w:p>
    <w:p w14:paraId="66D52D91" w14:textId="3C787535" w:rsidR="005565A4" w:rsidRPr="00C47279" w:rsidRDefault="00920FFA" w:rsidP="00604FF1">
      <w:pPr>
        <w:keepNext/>
        <w:spacing w:before="0" w:after="0" w:line="240" w:lineRule="auto"/>
        <w:rPr>
          <w:b/>
          <w:bCs/>
          <w:i/>
          <w:iCs/>
          <w:lang w:val="en-GB"/>
        </w:rPr>
      </w:pPr>
      <w:r w:rsidRPr="00C47279">
        <w:rPr>
          <w:b/>
          <w:bCs/>
          <w:i/>
          <w:iCs/>
          <w:lang w:val="en-GB"/>
        </w:rPr>
        <w:t>Evaluation</w:t>
      </w:r>
    </w:p>
    <w:p w14:paraId="1B41FF46" w14:textId="17D2BB2D" w:rsidR="005565A4" w:rsidRPr="00C47279" w:rsidRDefault="005565A4" w:rsidP="00F7614F">
      <w:pPr>
        <w:pStyle w:val="a5"/>
        <w:numPr>
          <w:ilvl w:val="0"/>
          <w:numId w:val="16"/>
        </w:numPr>
        <w:spacing w:line="240" w:lineRule="auto"/>
        <w:ind w:left="714" w:hanging="714"/>
        <w:contextualSpacing w:val="0"/>
        <w:rPr>
          <w:lang w:val="en-GB"/>
        </w:rPr>
      </w:pPr>
      <w:r w:rsidRPr="00C47279">
        <w:rPr>
          <w:lang w:val="en-GB"/>
        </w:rPr>
        <w:t xml:space="preserve">The Employer shall use the </w:t>
      </w:r>
      <w:r w:rsidR="00BD020B" w:rsidRPr="00C47279">
        <w:rPr>
          <w:lang w:val="en-GB"/>
        </w:rPr>
        <w:t xml:space="preserve">qualification </w:t>
      </w:r>
      <w:r w:rsidRPr="00C47279">
        <w:rPr>
          <w:lang w:val="en-GB"/>
        </w:rPr>
        <w:t xml:space="preserve">criteria and methodologies indicated in </w:t>
      </w:r>
      <w:r w:rsidR="00BD020B" w:rsidRPr="00C47279">
        <w:rPr>
          <w:lang w:val="en-GB"/>
        </w:rPr>
        <w:t>this invitation</w:t>
      </w:r>
      <w:r w:rsidRPr="00C47279">
        <w:rPr>
          <w:lang w:val="en-GB"/>
        </w:rPr>
        <w:t xml:space="preserve">. No other evaluation criteria or methodologies shall be </w:t>
      </w:r>
      <w:r w:rsidR="006538E1" w:rsidRPr="00C47279">
        <w:rPr>
          <w:lang w:val="en-GB"/>
        </w:rPr>
        <w:t>applied</w:t>
      </w:r>
      <w:r w:rsidRPr="00C47279">
        <w:rPr>
          <w:lang w:val="en-GB"/>
        </w:rPr>
        <w:t>.</w:t>
      </w:r>
    </w:p>
    <w:p w14:paraId="4DEAF3F9" w14:textId="196E2099" w:rsidR="005565A4" w:rsidRPr="00C47279" w:rsidRDefault="005565A4" w:rsidP="00F7614F">
      <w:pPr>
        <w:pStyle w:val="a5"/>
        <w:numPr>
          <w:ilvl w:val="0"/>
          <w:numId w:val="16"/>
        </w:numPr>
        <w:spacing w:line="240" w:lineRule="auto"/>
        <w:ind w:left="714" w:hanging="714"/>
        <w:contextualSpacing w:val="0"/>
        <w:rPr>
          <w:lang w:val="en-GB"/>
        </w:rPr>
      </w:pPr>
      <w:r w:rsidRPr="00C47279">
        <w:rPr>
          <w:lang w:val="en-GB"/>
        </w:rPr>
        <w:t xml:space="preserve">Only the qualifications of the Applicant shall be considered.  In particular, the qualifications of a parent or other affiliated company that is not party to the Applicant </w:t>
      </w:r>
      <w:r w:rsidR="00D82FFB" w:rsidRPr="00C47279">
        <w:rPr>
          <w:lang w:val="en-GB"/>
        </w:rPr>
        <w:t>or the</w:t>
      </w:r>
      <w:r w:rsidRPr="00C47279">
        <w:rPr>
          <w:lang w:val="en-GB"/>
        </w:rPr>
        <w:t xml:space="preserve"> JV</w:t>
      </w:r>
      <w:r w:rsidR="00E418F5" w:rsidRPr="00C47279">
        <w:rPr>
          <w:lang w:val="en-GB"/>
        </w:rPr>
        <w:t>CA</w:t>
      </w:r>
      <w:r w:rsidRPr="00C47279">
        <w:rPr>
          <w:lang w:val="en-GB"/>
        </w:rPr>
        <w:t xml:space="preserve"> shall not be considered.</w:t>
      </w:r>
    </w:p>
    <w:p w14:paraId="499E859A" w14:textId="3BFEB98D" w:rsidR="005565A4" w:rsidRPr="00C47279" w:rsidRDefault="00920FFA" w:rsidP="00F7614F">
      <w:pPr>
        <w:keepNext/>
        <w:spacing w:before="0" w:after="0" w:line="240" w:lineRule="auto"/>
        <w:rPr>
          <w:b/>
          <w:bCs/>
          <w:i/>
          <w:iCs/>
          <w:lang w:val="en-GB"/>
        </w:rPr>
      </w:pPr>
      <w:r w:rsidRPr="00C47279">
        <w:rPr>
          <w:b/>
          <w:bCs/>
          <w:i/>
          <w:iCs/>
          <w:lang w:val="en-GB"/>
        </w:rPr>
        <w:lastRenderedPageBreak/>
        <w:t>Acceptance or rejection</w:t>
      </w:r>
    </w:p>
    <w:p w14:paraId="5D1EB5EA" w14:textId="32BAC11D" w:rsidR="005565A4" w:rsidRPr="00C47279" w:rsidRDefault="005565A4" w:rsidP="00F7614F">
      <w:pPr>
        <w:pStyle w:val="a5"/>
        <w:numPr>
          <w:ilvl w:val="0"/>
          <w:numId w:val="16"/>
        </w:numPr>
        <w:spacing w:line="240" w:lineRule="auto"/>
        <w:ind w:left="714" w:hanging="714"/>
        <w:rPr>
          <w:lang w:val="en-GB"/>
        </w:rPr>
      </w:pPr>
      <w:r w:rsidRPr="00C47279">
        <w:rPr>
          <w:lang w:val="en-GB"/>
        </w:rPr>
        <w:t>The Employer reserves the right to accept or reject any Application, and to annul the prequalification process and reject all Applications at any time, without incurring any liability to the Applicants</w:t>
      </w:r>
      <w:r w:rsidR="003C2F1F" w:rsidRPr="00C47279">
        <w:rPr>
          <w:lang w:val="en-GB"/>
        </w:rPr>
        <w:t>.</w:t>
      </w:r>
    </w:p>
    <w:p w14:paraId="0F414588" w14:textId="2D56096B" w:rsidR="003C2F1F" w:rsidRPr="00C47279" w:rsidRDefault="003C2F1F" w:rsidP="00F7614F">
      <w:pPr>
        <w:keepNext/>
        <w:spacing w:before="0" w:after="0" w:line="240" w:lineRule="auto"/>
        <w:rPr>
          <w:b/>
          <w:bCs/>
          <w:i/>
          <w:iCs/>
          <w:lang w:val="en-GB"/>
        </w:rPr>
      </w:pPr>
      <w:r w:rsidRPr="00C47279">
        <w:rPr>
          <w:b/>
          <w:bCs/>
          <w:i/>
          <w:iCs/>
          <w:lang w:val="en-GB"/>
        </w:rPr>
        <w:t>Prequalification</w:t>
      </w:r>
    </w:p>
    <w:p w14:paraId="7E35B908" w14:textId="418F38F9" w:rsidR="005565A4" w:rsidRPr="00C47279" w:rsidRDefault="005565A4" w:rsidP="00F7614F">
      <w:pPr>
        <w:pStyle w:val="a5"/>
        <w:numPr>
          <w:ilvl w:val="0"/>
          <w:numId w:val="16"/>
        </w:numPr>
        <w:spacing w:line="240" w:lineRule="auto"/>
        <w:ind w:left="714" w:hanging="714"/>
        <w:rPr>
          <w:lang w:val="en-GB"/>
        </w:rPr>
      </w:pPr>
      <w:r w:rsidRPr="00C47279">
        <w:rPr>
          <w:lang w:val="en-GB"/>
        </w:rPr>
        <w:t>All Applicants whose Application meet or exceed the specified qualification requirements will be prequalified by the Employer.</w:t>
      </w:r>
    </w:p>
    <w:p w14:paraId="50DEE650" w14:textId="41469205" w:rsidR="003C2F1F" w:rsidRPr="00C47279" w:rsidRDefault="003C2F1F" w:rsidP="003C2F1F">
      <w:pPr>
        <w:keepNext/>
        <w:spacing w:before="0" w:after="0" w:line="240" w:lineRule="auto"/>
        <w:rPr>
          <w:b/>
          <w:bCs/>
          <w:i/>
          <w:iCs/>
          <w:lang w:val="en-GB"/>
        </w:rPr>
      </w:pPr>
      <w:r w:rsidRPr="00C47279">
        <w:rPr>
          <w:b/>
          <w:bCs/>
          <w:i/>
          <w:iCs/>
          <w:lang w:val="en-GB"/>
        </w:rPr>
        <w:t>Notifications</w:t>
      </w:r>
    </w:p>
    <w:p w14:paraId="6D0DAE73" w14:textId="4DF49847" w:rsidR="005565A4" w:rsidRPr="00C47279" w:rsidRDefault="005565A4" w:rsidP="00F7614F">
      <w:pPr>
        <w:pStyle w:val="a5"/>
        <w:numPr>
          <w:ilvl w:val="0"/>
          <w:numId w:val="16"/>
        </w:numPr>
        <w:spacing w:line="240" w:lineRule="auto"/>
        <w:ind w:left="714" w:hanging="714"/>
        <w:rPr>
          <w:lang w:val="en-GB"/>
        </w:rPr>
      </w:pPr>
      <w:r w:rsidRPr="00C47279">
        <w:rPr>
          <w:lang w:val="en-GB"/>
        </w:rPr>
        <w:t>The Employer shall notify all Applicants in writing of the names of those Applicants who have been prequalified. In addition, those Applicants who have been disqualified will be informed separately.</w:t>
      </w:r>
    </w:p>
    <w:p w14:paraId="0FEDEDE0" w14:textId="77777777" w:rsidR="005565A4" w:rsidRPr="00C47279" w:rsidRDefault="005565A4">
      <w:pPr>
        <w:spacing w:before="0" w:after="0" w:line="240" w:lineRule="auto"/>
        <w:rPr>
          <w:b/>
          <w:bCs/>
          <w:lang w:val="en-GB"/>
        </w:rPr>
      </w:pPr>
      <w:r w:rsidRPr="00C47279">
        <w:rPr>
          <w:b/>
          <w:bCs/>
          <w:lang w:val="en-GB"/>
        </w:rPr>
        <w:br w:type="page"/>
      </w:r>
    </w:p>
    <w:p w14:paraId="27235324" w14:textId="77777777" w:rsidR="0064472C" w:rsidRPr="00C47279" w:rsidRDefault="0064472C" w:rsidP="0064472C">
      <w:pPr>
        <w:rPr>
          <w:b/>
          <w:bCs/>
          <w:lang w:val="en-GB"/>
        </w:rPr>
      </w:pPr>
      <w:r w:rsidRPr="00C47279">
        <w:rPr>
          <w:b/>
          <w:bCs/>
          <w:lang w:val="en-GB"/>
        </w:rPr>
        <w:lastRenderedPageBreak/>
        <w:t>Appendix 1</w:t>
      </w:r>
    </w:p>
    <w:p w14:paraId="113955E3" w14:textId="77777777" w:rsidR="0064472C" w:rsidRPr="00C47279" w:rsidRDefault="0064472C" w:rsidP="0064472C">
      <w:pPr>
        <w:rPr>
          <w:b/>
          <w:bCs/>
          <w:lang w:val="en-GB"/>
        </w:rPr>
      </w:pPr>
      <w:bookmarkStart w:id="11" w:name="_Hlk134546580"/>
      <w:r w:rsidRPr="00C47279">
        <w:rPr>
          <w:b/>
          <w:bCs/>
          <w:lang w:val="en-GB"/>
        </w:rPr>
        <w:t>Application to Tender</w:t>
      </w:r>
    </w:p>
    <w:bookmarkEnd w:id="11"/>
    <w:p w14:paraId="5FA095B8" w14:textId="745CCF0C" w:rsidR="0064472C" w:rsidRPr="00C47279" w:rsidRDefault="0064472C" w:rsidP="0064472C">
      <w:pPr>
        <w:rPr>
          <w:i/>
          <w:iCs/>
          <w:sz w:val="22"/>
          <w:szCs w:val="22"/>
          <w:lang w:val="en-GB"/>
        </w:rPr>
      </w:pPr>
      <w:r w:rsidRPr="00C47279">
        <w:rPr>
          <w:b/>
          <w:bCs/>
          <w:lang w:val="en-GB"/>
        </w:rPr>
        <w:br/>
      </w:r>
      <w:r w:rsidRPr="00C47279">
        <w:rPr>
          <w:i/>
          <w:iCs/>
          <w:sz w:val="22"/>
          <w:szCs w:val="22"/>
          <w:lang w:val="en-GB"/>
        </w:rPr>
        <w:t>Note for Applicants: The Applicant must prepare the Application to Tender on stationery with its letterhead clearly showing the Applicants complete name and address. All text within square brackets [</w:t>
      </w:r>
      <w:r w:rsidR="0093720C">
        <w:rPr>
          <w:i/>
          <w:iCs/>
          <w:sz w:val="22"/>
          <w:szCs w:val="22"/>
          <w:lang w:val="en-GB"/>
        </w:rPr>
        <w:t> </w:t>
      </w:r>
      <w:r w:rsidRPr="00C47279">
        <w:rPr>
          <w:i/>
          <w:iCs/>
          <w:sz w:val="22"/>
          <w:szCs w:val="22"/>
          <w:lang w:val="en-GB"/>
        </w:rPr>
        <w:t>] is for guidance in preparing this form and shall be deleted by the Applicant from the final document.</w:t>
      </w:r>
    </w:p>
    <w:p w14:paraId="2E9C8CC9" w14:textId="77777777" w:rsidR="0064472C" w:rsidRPr="00C47279" w:rsidRDefault="0064472C" w:rsidP="0064472C">
      <w:pPr>
        <w:rPr>
          <w:sz w:val="22"/>
          <w:szCs w:val="22"/>
          <w:lang w:val="en-GB"/>
        </w:rPr>
      </w:pPr>
      <w:r w:rsidRPr="00C47279">
        <w:rPr>
          <w:sz w:val="22"/>
          <w:szCs w:val="22"/>
          <w:lang w:val="en-GB"/>
        </w:rPr>
        <w:t>We, the undersigned, declare that:</w:t>
      </w:r>
    </w:p>
    <w:p w14:paraId="46D1C5CC" w14:textId="5CD2931B" w:rsidR="0064472C" w:rsidRPr="00C47279" w:rsidRDefault="0064472C" w:rsidP="0064472C">
      <w:pPr>
        <w:pStyle w:val="a5"/>
        <w:numPr>
          <w:ilvl w:val="0"/>
          <w:numId w:val="7"/>
        </w:numPr>
        <w:contextualSpacing w:val="0"/>
        <w:rPr>
          <w:sz w:val="22"/>
          <w:szCs w:val="22"/>
          <w:lang w:val="en-GB"/>
        </w:rPr>
      </w:pPr>
      <w:r w:rsidRPr="00C47279">
        <w:rPr>
          <w:sz w:val="22"/>
          <w:szCs w:val="22"/>
          <w:lang w:val="en-GB"/>
        </w:rPr>
        <w:t>We, including any subcontractors or suppliers and subsuppliers for any part of the Contract have no conflict of interest in accordance with the following:</w:t>
      </w:r>
      <w:r w:rsidRPr="00C47279">
        <w:rPr>
          <w:sz w:val="22"/>
          <w:szCs w:val="22"/>
          <w:lang w:val="en-GB"/>
        </w:rPr>
        <w:br/>
      </w:r>
      <w:r w:rsidRPr="00C47279">
        <w:rPr>
          <w:sz w:val="22"/>
          <w:szCs w:val="22"/>
          <w:lang w:val="en-GB"/>
        </w:rPr>
        <w:br/>
      </w:r>
      <w:r w:rsidR="001B32F5">
        <w:rPr>
          <w:sz w:val="22"/>
          <w:szCs w:val="22"/>
          <w:lang w:val="en-GB"/>
        </w:rPr>
        <w:t xml:space="preserve">This </w:t>
      </w:r>
      <w:r w:rsidR="001B32F5" w:rsidRPr="001B32F5">
        <w:rPr>
          <w:sz w:val="22"/>
          <w:szCs w:val="22"/>
          <w:lang w:val="en-GB"/>
        </w:rPr>
        <w:t>Policy requires that a firm participating in the procurement process for a public sector project funded by the European Union must not</w:t>
      </w:r>
      <w:r w:rsidR="001B32F5">
        <w:rPr>
          <w:sz w:val="22"/>
          <w:szCs w:val="22"/>
          <w:lang w:val="en-GB"/>
        </w:rPr>
        <w:t xml:space="preserve"> have a conflict of interest. </w:t>
      </w:r>
      <w:r w:rsidRPr="00C47279">
        <w:rPr>
          <w:sz w:val="22"/>
          <w:szCs w:val="22"/>
          <w:lang w:val="en-GB"/>
        </w:rPr>
        <w:t>Any firm found to have a conflict of interest shall be ineligible for award of contract. In this respect, a tenderer may submit only one tender or participate as a joint venture partner or consortium member in only one tender for each contract. For the purpose of this Article, a subcontractor is not deemed to be participating in a tender. A firm shall also be considered to have a conflict of interest in a procurement process if such firm (including its personnel) has a close business, family or other relationship with the client or a professional staff of the client (or of the project implementing agency, or of a recipient of a part of the NEFCO Funds) who: (i) are directly or indirectly involved in the preparation of the tender documents or specifications of the contract, and/or the tender evaluation process of such contract; or (ii) would be involved in the implementation or supervision of such contract, unless the conflict stemming from such relationship has been resolved in a manner acceptable to NEFCO throughout the procurement process and execution of the contract.</w:t>
      </w:r>
    </w:p>
    <w:p w14:paraId="789E0796" w14:textId="77777777" w:rsidR="0064472C" w:rsidRPr="00C47279" w:rsidRDefault="0064472C" w:rsidP="0064472C">
      <w:pPr>
        <w:pStyle w:val="a5"/>
        <w:numPr>
          <w:ilvl w:val="0"/>
          <w:numId w:val="7"/>
        </w:numPr>
        <w:ind w:left="1077"/>
        <w:contextualSpacing w:val="0"/>
        <w:rPr>
          <w:sz w:val="22"/>
          <w:szCs w:val="22"/>
          <w:lang w:val="en-GB"/>
        </w:rPr>
      </w:pPr>
      <w:r w:rsidRPr="00C47279">
        <w:rPr>
          <w:sz w:val="22"/>
          <w:szCs w:val="22"/>
          <w:lang w:val="en-GB"/>
        </w:rPr>
        <w:t>Our firm/The individual, its affiliates or subsidiaries, including any subcontractors or suppliers and subsuppliers for any part of the contract, have not been declared ineligible and are not under investigation by NEFCO, another international financial institution, under the Employer’s country laws or official regulations or by an act of compliance with a decision of the European Union and/or United Nations Security Council</w:t>
      </w:r>
    </w:p>
    <w:p w14:paraId="6195F595" w14:textId="77777777" w:rsidR="0064472C" w:rsidRPr="00C47279" w:rsidRDefault="0064472C" w:rsidP="0064472C">
      <w:pPr>
        <w:rPr>
          <w:sz w:val="22"/>
          <w:szCs w:val="22"/>
          <w:lang w:val="en-GB"/>
        </w:rPr>
      </w:pPr>
    </w:p>
    <w:p w14:paraId="50FB4B24" w14:textId="77777777" w:rsidR="0064472C" w:rsidRPr="00C47279" w:rsidRDefault="0064472C" w:rsidP="0064472C">
      <w:pPr>
        <w:rPr>
          <w:sz w:val="22"/>
          <w:szCs w:val="22"/>
          <w:lang w:val="en-GB"/>
        </w:rPr>
      </w:pPr>
      <w:r w:rsidRPr="00C47279">
        <w:rPr>
          <w:sz w:val="22"/>
          <w:szCs w:val="22"/>
          <w:lang w:val="en-GB"/>
        </w:rPr>
        <w:t>Date:</w:t>
      </w:r>
    </w:p>
    <w:p w14:paraId="537E8123" w14:textId="77777777" w:rsidR="0064472C" w:rsidRPr="00C47279" w:rsidRDefault="0064472C" w:rsidP="0064472C">
      <w:pPr>
        <w:rPr>
          <w:sz w:val="22"/>
          <w:szCs w:val="22"/>
          <w:lang w:val="en-GB"/>
        </w:rPr>
      </w:pPr>
      <w:r w:rsidRPr="00C47279">
        <w:rPr>
          <w:sz w:val="22"/>
          <w:szCs w:val="22"/>
          <w:lang w:val="en-GB"/>
        </w:rPr>
        <w:t>Signature:</w:t>
      </w:r>
    </w:p>
    <w:p w14:paraId="372D0C7C" w14:textId="77777777" w:rsidR="0064472C" w:rsidRPr="00C47279" w:rsidRDefault="0064472C" w:rsidP="0064472C">
      <w:pPr>
        <w:rPr>
          <w:sz w:val="22"/>
          <w:szCs w:val="22"/>
          <w:lang w:val="en-GB"/>
        </w:rPr>
      </w:pPr>
      <w:r w:rsidRPr="00C47279">
        <w:rPr>
          <w:sz w:val="22"/>
          <w:szCs w:val="22"/>
          <w:lang w:val="en-GB"/>
        </w:rPr>
        <w:t>[Name and position]</w:t>
      </w:r>
    </w:p>
    <w:p w14:paraId="5644B2AF" w14:textId="77777777" w:rsidR="0064472C" w:rsidRPr="00C47279" w:rsidRDefault="0064472C" w:rsidP="0064472C">
      <w:pPr>
        <w:rPr>
          <w:sz w:val="22"/>
          <w:szCs w:val="22"/>
          <w:lang w:val="en-GB"/>
        </w:rPr>
      </w:pPr>
      <w:r w:rsidRPr="00C47279">
        <w:rPr>
          <w:sz w:val="22"/>
          <w:szCs w:val="22"/>
          <w:lang w:val="en-GB"/>
        </w:rPr>
        <w:t>for and on behalf of:</w:t>
      </w:r>
      <w:r w:rsidRPr="00C47279">
        <w:rPr>
          <w:sz w:val="22"/>
          <w:szCs w:val="22"/>
          <w:lang w:val="en-GB"/>
        </w:rPr>
        <w:tab/>
      </w:r>
    </w:p>
    <w:p w14:paraId="7C88CCBC" w14:textId="2E08E3F9" w:rsidR="0064472C" w:rsidRPr="00C47279" w:rsidRDefault="0064472C" w:rsidP="0064472C">
      <w:pPr>
        <w:spacing w:before="0" w:after="0" w:line="240" w:lineRule="auto"/>
        <w:rPr>
          <w:b/>
          <w:bCs/>
          <w:lang w:val="en-GB"/>
        </w:rPr>
      </w:pPr>
      <w:r w:rsidRPr="00C47279">
        <w:rPr>
          <w:sz w:val="22"/>
          <w:szCs w:val="22"/>
          <w:lang w:val="en-GB"/>
        </w:rPr>
        <w:t>[Name of the firm/individual or joint venture</w:t>
      </w:r>
      <w:r w:rsidR="00E418F5" w:rsidRPr="00C47279">
        <w:rPr>
          <w:sz w:val="22"/>
          <w:szCs w:val="22"/>
          <w:lang w:val="en-GB"/>
        </w:rPr>
        <w:t xml:space="preserve"> or consortium</w:t>
      </w:r>
      <w:r w:rsidRPr="00C47279">
        <w:rPr>
          <w:sz w:val="22"/>
          <w:szCs w:val="22"/>
          <w:lang w:val="en-GB"/>
        </w:rPr>
        <w:t>]</w:t>
      </w:r>
      <w:r w:rsidRPr="00C47279">
        <w:rPr>
          <w:b/>
          <w:bCs/>
          <w:lang w:val="en-GB"/>
        </w:rPr>
        <w:br w:type="page"/>
      </w:r>
    </w:p>
    <w:p w14:paraId="4472727F" w14:textId="54953E6D" w:rsidR="00CD3DD3" w:rsidRPr="00C47279" w:rsidRDefault="00CD3DD3" w:rsidP="00CD3DD3">
      <w:pPr>
        <w:rPr>
          <w:b/>
          <w:bCs/>
          <w:lang w:val="en-GB"/>
        </w:rPr>
      </w:pPr>
      <w:r w:rsidRPr="00C47279">
        <w:rPr>
          <w:b/>
          <w:bCs/>
          <w:lang w:val="en-GB"/>
        </w:rPr>
        <w:lastRenderedPageBreak/>
        <w:t xml:space="preserve">Appendix </w:t>
      </w:r>
      <w:r w:rsidR="00B673ED" w:rsidRPr="00C47279">
        <w:rPr>
          <w:b/>
          <w:bCs/>
          <w:lang w:val="en-GB"/>
        </w:rPr>
        <w:t>2</w:t>
      </w:r>
    </w:p>
    <w:p w14:paraId="4DDD3261" w14:textId="77777777" w:rsidR="00463273" w:rsidRPr="00C47279" w:rsidRDefault="00463273" w:rsidP="00463273">
      <w:pPr>
        <w:rPr>
          <w:b/>
          <w:bCs/>
          <w:lang w:val="en-GB"/>
        </w:rPr>
      </w:pPr>
      <w:r w:rsidRPr="00C47279">
        <w:rPr>
          <w:b/>
          <w:bCs/>
          <w:lang w:val="en-GB"/>
        </w:rPr>
        <w:t>Average Annual Turnover</w:t>
      </w:r>
    </w:p>
    <w:p w14:paraId="58929380" w14:textId="77777777" w:rsidR="00463273" w:rsidRPr="00C47279" w:rsidRDefault="00463273" w:rsidP="00463273">
      <w:pPr>
        <w:rPr>
          <w:sz w:val="22"/>
          <w:szCs w:val="22"/>
          <w:lang w:val="en-GB"/>
        </w:rPr>
      </w:pPr>
      <w:r w:rsidRPr="00C47279">
        <w:rPr>
          <w:sz w:val="22"/>
          <w:szCs w:val="22"/>
          <w:lang w:val="en-GB"/>
        </w:rPr>
        <w:t xml:space="preserve">Annual turnover data* </w:t>
      </w:r>
    </w:p>
    <w:tbl>
      <w:tblPr>
        <w:tblStyle w:val="af0"/>
        <w:tblW w:w="0" w:type="auto"/>
        <w:tblLook w:val="04A0" w:firstRow="1" w:lastRow="0" w:firstColumn="1" w:lastColumn="0" w:noHBand="0" w:noVBand="1"/>
      </w:tblPr>
      <w:tblGrid>
        <w:gridCol w:w="704"/>
        <w:gridCol w:w="3791"/>
        <w:gridCol w:w="2409"/>
        <w:gridCol w:w="2441"/>
      </w:tblGrid>
      <w:tr w:rsidR="00463273" w:rsidRPr="00C47279" w14:paraId="33405B8E" w14:textId="77777777" w:rsidTr="00463273">
        <w:tc>
          <w:tcPr>
            <w:tcW w:w="704" w:type="dxa"/>
          </w:tcPr>
          <w:p w14:paraId="78AD92B4" w14:textId="77777777" w:rsidR="00463273" w:rsidRPr="00C47279" w:rsidRDefault="00463273" w:rsidP="00463273">
            <w:pPr>
              <w:spacing w:before="0" w:after="0" w:line="240" w:lineRule="auto"/>
              <w:jc w:val="center"/>
              <w:rPr>
                <w:sz w:val="22"/>
                <w:szCs w:val="22"/>
                <w:lang w:val="en-GB"/>
              </w:rPr>
            </w:pPr>
          </w:p>
        </w:tc>
        <w:tc>
          <w:tcPr>
            <w:tcW w:w="3791" w:type="dxa"/>
          </w:tcPr>
          <w:p w14:paraId="6F67EAD7" w14:textId="4735DEB5" w:rsidR="00463273" w:rsidRPr="00C47279" w:rsidRDefault="00463273" w:rsidP="00463273">
            <w:pPr>
              <w:spacing w:before="0" w:after="0" w:line="240" w:lineRule="auto"/>
              <w:jc w:val="center"/>
              <w:rPr>
                <w:sz w:val="22"/>
                <w:szCs w:val="22"/>
                <w:lang w:val="en-GB"/>
              </w:rPr>
            </w:pPr>
            <w:r w:rsidRPr="00C47279">
              <w:rPr>
                <w:sz w:val="22"/>
                <w:szCs w:val="22"/>
                <w:lang w:val="en-GB"/>
              </w:rPr>
              <w:t>Year</w:t>
            </w:r>
          </w:p>
        </w:tc>
        <w:tc>
          <w:tcPr>
            <w:tcW w:w="2409" w:type="dxa"/>
          </w:tcPr>
          <w:p w14:paraId="00A93A76" w14:textId="7FA50B67" w:rsidR="00463273" w:rsidRPr="00C47279" w:rsidRDefault="00463273" w:rsidP="00463273">
            <w:pPr>
              <w:spacing w:before="0" w:after="0" w:line="240" w:lineRule="auto"/>
              <w:jc w:val="center"/>
              <w:rPr>
                <w:sz w:val="22"/>
                <w:szCs w:val="22"/>
                <w:lang w:val="en-GB"/>
              </w:rPr>
            </w:pPr>
            <w:r w:rsidRPr="00C47279">
              <w:rPr>
                <w:sz w:val="22"/>
                <w:szCs w:val="22"/>
                <w:lang w:val="en-GB"/>
              </w:rPr>
              <w:t>Amount</w:t>
            </w:r>
          </w:p>
        </w:tc>
        <w:tc>
          <w:tcPr>
            <w:tcW w:w="2441" w:type="dxa"/>
          </w:tcPr>
          <w:p w14:paraId="77347A2F" w14:textId="77777777" w:rsidR="00463273" w:rsidRPr="00C47279" w:rsidRDefault="00463273" w:rsidP="00463273">
            <w:pPr>
              <w:spacing w:before="0" w:after="0" w:line="240" w:lineRule="auto"/>
              <w:jc w:val="center"/>
              <w:rPr>
                <w:sz w:val="22"/>
                <w:szCs w:val="22"/>
                <w:lang w:val="en-GB"/>
              </w:rPr>
            </w:pPr>
            <w:r w:rsidRPr="00C47279">
              <w:rPr>
                <w:sz w:val="22"/>
                <w:szCs w:val="22"/>
                <w:lang w:val="en-GB"/>
              </w:rPr>
              <w:t>Currency</w:t>
            </w:r>
          </w:p>
        </w:tc>
      </w:tr>
      <w:tr w:rsidR="00463273" w:rsidRPr="00C47279" w14:paraId="353CEC67" w14:textId="77777777" w:rsidTr="00463273">
        <w:tc>
          <w:tcPr>
            <w:tcW w:w="704" w:type="dxa"/>
          </w:tcPr>
          <w:p w14:paraId="3812EE2D" w14:textId="7D4E64E4" w:rsidR="00463273" w:rsidRPr="00C47279" w:rsidRDefault="00463273" w:rsidP="00463273">
            <w:pPr>
              <w:spacing w:before="0" w:after="0" w:line="240" w:lineRule="auto"/>
              <w:jc w:val="center"/>
              <w:rPr>
                <w:sz w:val="22"/>
                <w:szCs w:val="22"/>
                <w:lang w:val="en-GB"/>
              </w:rPr>
            </w:pPr>
            <w:r w:rsidRPr="00C47279">
              <w:rPr>
                <w:sz w:val="22"/>
                <w:szCs w:val="22"/>
                <w:lang w:val="en-GB"/>
              </w:rPr>
              <w:t>1</w:t>
            </w:r>
          </w:p>
        </w:tc>
        <w:tc>
          <w:tcPr>
            <w:tcW w:w="3791" w:type="dxa"/>
          </w:tcPr>
          <w:p w14:paraId="47052CFA" w14:textId="0C90529C" w:rsidR="00463273" w:rsidRPr="00C47279" w:rsidRDefault="00463273" w:rsidP="00463273">
            <w:pPr>
              <w:spacing w:before="0" w:after="0" w:line="240" w:lineRule="auto"/>
              <w:jc w:val="center"/>
              <w:rPr>
                <w:sz w:val="22"/>
                <w:szCs w:val="22"/>
                <w:lang w:val="en-GB"/>
              </w:rPr>
            </w:pPr>
          </w:p>
        </w:tc>
        <w:tc>
          <w:tcPr>
            <w:tcW w:w="2409" w:type="dxa"/>
          </w:tcPr>
          <w:p w14:paraId="2C9B5D38" w14:textId="77777777" w:rsidR="00463273" w:rsidRPr="00C47279" w:rsidRDefault="00463273" w:rsidP="00463273">
            <w:pPr>
              <w:spacing w:before="0" w:after="0" w:line="240" w:lineRule="auto"/>
              <w:jc w:val="center"/>
              <w:rPr>
                <w:sz w:val="22"/>
                <w:szCs w:val="22"/>
                <w:lang w:val="en-GB"/>
              </w:rPr>
            </w:pPr>
          </w:p>
        </w:tc>
        <w:tc>
          <w:tcPr>
            <w:tcW w:w="2441" w:type="dxa"/>
          </w:tcPr>
          <w:p w14:paraId="5F54047C" w14:textId="77777777" w:rsidR="00463273" w:rsidRPr="00C47279" w:rsidRDefault="00463273" w:rsidP="00463273">
            <w:pPr>
              <w:spacing w:before="0" w:after="0" w:line="240" w:lineRule="auto"/>
              <w:jc w:val="center"/>
              <w:rPr>
                <w:sz w:val="22"/>
                <w:szCs w:val="22"/>
                <w:lang w:val="en-GB"/>
              </w:rPr>
            </w:pPr>
          </w:p>
        </w:tc>
      </w:tr>
      <w:tr w:rsidR="00463273" w:rsidRPr="00C47279" w14:paraId="75FDB6E2" w14:textId="77777777" w:rsidTr="00463273">
        <w:tc>
          <w:tcPr>
            <w:tcW w:w="704" w:type="dxa"/>
          </w:tcPr>
          <w:p w14:paraId="68C5E21A" w14:textId="43816D59" w:rsidR="00463273" w:rsidRPr="00C47279" w:rsidRDefault="00463273" w:rsidP="00463273">
            <w:pPr>
              <w:spacing w:before="0" w:after="0" w:line="240" w:lineRule="auto"/>
              <w:jc w:val="center"/>
              <w:rPr>
                <w:sz w:val="22"/>
                <w:szCs w:val="22"/>
                <w:lang w:val="en-GB"/>
              </w:rPr>
            </w:pPr>
            <w:r w:rsidRPr="00C47279">
              <w:rPr>
                <w:sz w:val="22"/>
                <w:szCs w:val="22"/>
                <w:lang w:val="en-GB"/>
              </w:rPr>
              <w:t>2</w:t>
            </w:r>
          </w:p>
        </w:tc>
        <w:tc>
          <w:tcPr>
            <w:tcW w:w="3791" w:type="dxa"/>
          </w:tcPr>
          <w:p w14:paraId="7D45FFB5" w14:textId="17BDF3F4" w:rsidR="00463273" w:rsidRPr="00C47279" w:rsidRDefault="00463273" w:rsidP="00463273">
            <w:pPr>
              <w:spacing w:before="0" w:after="0" w:line="240" w:lineRule="auto"/>
              <w:jc w:val="center"/>
              <w:rPr>
                <w:sz w:val="22"/>
                <w:szCs w:val="22"/>
                <w:lang w:val="en-GB"/>
              </w:rPr>
            </w:pPr>
          </w:p>
        </w:tc>
        <w:tc>
          <w:tcPr>
            <w:tcW w:w="2409" w:type="dxa"/>
          </w:tcPr>
          <w:p w14:paraId="016FD039" w14:textId="77777777" w:rsidR="00463273" w:rsidRPr="00C47279" w:rsidRDefault="00463273" w:rsidP="00463273">
            <w:pPr>
              <w:spacing w:before="0" w:after="0" w:line="240" w:lineRule="auto"/>
              <w:jc w:val="center"/>
              <w:rPr>
                <w:sz w:val="22"/>
                <w:szCs w:val="22"/>
                <w:lang w:val="en-GB"/>
              </w:rPr>
            </w:pPr>
          </w:p>
        </w:tc>
        <w:tc>
          <w:tcPr>
            <w:tcW w:w="2441" w:type="dxa"/>
          </w:tcPr>
          <w:p w14:paraId="3993CBC9" w14:textId="77777777" w:rsidR="00463273" w:rsidRPr="00C47279" w:rsidRDefault="00463273" w:rsidP="00463273">
            <w:pPr>
              <w:spacing w:before="0" w:after="0" w:line="240" w:lineRule="auto"/>
              <w:jc w:val="center"/>
              <w:rPr>
                <w:sz w:val="22"/>
                <w:szCs w:val="22"/>
                <w:lang w:val="en-GB"/>
              </w:rPr>
            </w:pPr>
          </w:p>
        </w:tc>
      </w:tr>
      <w:tr w:rsidR="00463273" w:rsidRPr="00C47279" w14:paraId="11EEC051" w14:textId="77777777" w:rsidTr="00463273">
        <w:tc>
          <w:tcPr>
            <w:tcW w:w="704" w:type="dxa"/>
          </w:tcPr>
          <w:p w14:paraId="6BBBB242" w14:textId="574CC62C" w:rsidR="00463273" w:rsidRPr="00C47279" w:rsidRDefault="00463273" w:rsidP="00463273">
            <w:pPr>
              <w:spacing w:before="0" w:after="0" w:line="240" w:lineRule="auto"/>
              <w:jc w:val="center"/>
              <w:rPr>
                <w:sz w:val="22"/>
                <w:szCs w:val="22"/>
                <w:lang w:val="en-GB"/>
              </w:rPr>
            </w:pPr>
            <w:r w:rsidRPr="00C47279">
              <w:rPr>
                <w:sz w:val="22"/>
                <w:szCs w:val="22"/>
                <w:lang w:val="en-GB"/>
              </w:rPr>
              <w:t>3</w:t>
            </w:r>
          </w:p>
        </w:tc>
        <w:tc>
          <w:tcPr>
            <w:tcW w:w="3791" w:type="dxa"/>
          </w:tcPr>
          <w:p w14:paraId="215DF1BE" w14:textId="6D44A3D7" w:rsidR="00463273" w:rsidRPr="00C47279" w:rsidRDefault="00463273" w:rsidP="00463273">
            <w:pPr>
              <w:spacing w:before="0" w:after="0" w:line="240" w:lineRule="auto"/>
              <w:jc w:val="center"/>
              <w:rPr>
                <w:sz w:val="22"/>
                <w:szCs w:val="22"/>
                <w:lang w:val="en-GB"/>
              </w:rPr>
            </w:pPr>
          </w:p>
        </w:tc>
        <w:tc>
          <w:tcPr>
            <w:tcW w:w="2409" w:type="dxa"/>
          </w:tcPr>
          <w:p w14:paraId="2C0FC065" w14:textId="77777777" w:rsidR="00463273" w:rsidRPr="00C47279" w:rsidRDefault="00463273" w:rsidP="00463273">
            <w:pPr>
              <w:spacing w:before="0" w:after="0" w:line="240" w:lineRule="auto"/>
              <w:jc w:val="center"/>
              <w:rPr>
                <w:sz w:val="22"/>
                <w:szCs w:val="22"/>
                <w:lang w:val="en-GB"/>
              </w:rPr>
            </w:pPr>
          </w:p>
        </w:tc>
        <w:tc>
          <w:tcPr>
            <w:tcW w:w="2441" w:type="dxa"/>
          </w:tcPr>
          <w:p w14:paraId="7354A945" w14:textId="77777777" w:rsidR="00463273" w:rsidRPr="00C47279" w:rsidRDefault="00463273" w:rsidP="00463273">
            <w:pPr>
              <w:spacing w:before="0" w:after="0" w:line="240" w:lineRule="auto"/>
              <w:jc w:val="center"/>
              <w:rPr>
                <w:sz w:val="22"/>
                <w:szCs w:val="22"/>
                <w:lang w:val="en-GB"/>
              </w:rPr>
            </w:pPr>
          </w:p>
        </w:tc>
      </w:tr>
      <w:tr w:rsidR="00463273" w:rsidRPr="00C47279" w14:paraId="5E558428" w14:textId="77777777" w:rsidTr="00463273">
        <w:tc>
          <w:tcPr>
            <w:tcW w:w="704" w:type="dxa"/>
          </w:tcPr>
          <w:p w14:paraId="4D7B7E40" w14:textId="1BE6E394" w:rsidR="00463273" w:rsidRPr="00C47279" w:rsidRDefault="00463273" w:rsidP="00463273">
            <w:pPr>
              <w:spacing w:before="0" w:after="0" w:line="240" w:lineRule="auto"/>
              <w:jc w:val="center"/>
              <w:rPr>
                <w:sz w:val="22"/>
                <w:szCs w:val="22"/>
                <w:lang w:val="en-GB"/>
              </w:rPr>
            </w:pPr>
            <w:r w:rsidRPr="00C47279">
              <w:rPr>
                <w:sz w:val="22"/>
                <w:szCs w:val="22"/>
                <w:lang w:val="en-GB"/>
              </w:rPr>
              <w:t>4</w:t>
            </w:r>
          </w:p>
        </w:tc>
        <w:tc>
          <w:tcPr>
            <w:tcW w:w="3791" w:type="dxa"/>
          </w:tcPr>
          <w:p w14:paraId="0F54ADD5" w14:textId="1AB283EB" w:rsidR="00463273" w:rsidRPr="00C47279" w:rsidRDefault="00463273" w:rsidP="00463273">
            <w:pPr>
              <w:spacing w:before="0" w:after="0" w:line="240" w:lineRule="auto"/>
              <w:jc w:val="center"/>
              <w:rPr>
                <w:sz w:val="22"/>
                <w:szCs w:val="22"/>
                <w:lang w:val="en-GB"/>
              </w:rPr>
            </w:pPr>
          </w:p>
        </w:tc>
        <w:tc>
          <w:tcPr>
            <w:tcW w:w="2409" w:type="dxa"/>
          </w:tcPr>
          <w:p w14:paraId="3E9D8604" w14:textId="77777777" w:rsidR="00463273" w:rsidRPr="00C47279" w:rsidRDefault="00463273" w:rsidP="00463273">
            <w:pPr>
              <w:spacing w:before="0" w:after="0" w:line="240" w:lineRule="auto"/>
              <w:jc w:val="center"/>
              <w:rPr>
                <w:sz w:val="22"/>
                <w:szCs w:val="22"/>
                <w:lang w:val="en-GB"/>
              </w:rPr>
            </w:pPr>
          </w:p>
        </w:tc>
        <w:tc>
          <w:tcPr>
            <w:tcW w:w="2441" w:type="dxa"/>
          </w:tcPr>
          <w:p w14:paraId="3C2B25CA" w14:textId="77777777" w:rsidR="00463273" w:rsidRPr="00C47279" w:rsidRDefault="00463273" w:rsidP="00463273">
            <w:pPr>
              <w:spacing w:before="0" w:after="0" w:line="240" w:lineRule="auto"/>
              <w:jc w:val="center"/>
              <w:rPr>
                <w:sz w:val="22"/>
                <w:szCs w:val="22"/>
                <w:lang w:val="en-GB"/>
              </w:rPr>
            </w:pPr>
          </w:p>
        </w:tc>
      </w:tr>
      <w:tr w:rsidR="00463273" w:rsidRPr="00C47279" w14:paraId="703AD055" w14:textId="77777777" w:rsidTr="00463273">
        <w:tc>
          <w:tcPr>
            <w:tcW w:w="704" w:type="dxa"/>
          </w:tcPr>
          <w:p w14:paraId="527DD6B8" w14:textId="1B575002" w:rsidR="00463273" w:rsidRPr="00C47279" w:rsidRDefault="00463273" w:rsidP="00463273">
            <w:pPr>
              <w:spacing w:before="0" w:after="0" w:line="240" w:lineRule="auto"/>
              <w:jc w:val="center"/>
              <w:rPr>
                <w:sz w:val="22"/>
                <w:szCs w:val="22"/>
                <w:lang w:val="en-GB"/>
              </w:rPr>
            </w:pPr>
            <w:r w:rsidRPr="00C47279">
              <w:rPr>
                <w:sz w:val="22"/>
                <w:szCs w:val="22"/>
                <w:lang w:val="en-GB"/>
              </w:rPr>
              <w:t>5</w:t>
            </w:r>
          </w:p>
        </w:tc>
        <w:tc>
          <w:tcPr>
            <w:tcW w:w="3791" w:type="dxa"/>
          </w:tcPr>
          <w:p w14:paraId="40A3334D" w14:textId="77777777" w:rsidR="00463273" w:rsidRPr="00C47279" w:rsidRDefault="00463273" w:rsidP="00463273">
            <w:pPr>
              <w:spacing w:before="0" w:after="0" w:line="240" w:lineRule="auto"/>
              <w:jc w:val="center"/>
              <w:rPr>
                <w:sz w:val="22"/>
                <w:szCs w:val="22"/>
                <w:lang w:val="en-GB"/>
              </w:rPr>
            </w:pPr>
          </w:p>
        </w:tc>
        <w:tc>
          <w:tcPr>
            <w:tcW w:w="2409" w:type="dxa"/>
          </w:tcPr>
          <w:p w14:paraId="4FF3DE5F" w14:textId="77777777" w:rsidR="00463273" w:rsidRPr="00C47279" w:rsidRDefault="00463273" w:rsidP="00463273">
            <w:pPr>
              <w:spacing w:before="0" w:after="0" w:line="240" w:lineRule="auto"/>
              <w:jc w:val="center"/>
              <w:rPr>
                <w:sz w:val="22"/>
                <w:szCs w:val="22"/>
                <w:lang w:val="en-GB"/>
              </w:rPr>
            </w:pPr>
          </w:p>
        </w:tc>
        <w:tc>
          <w:tcPr>
            <w:tcW w:w="2441" w:type="dxa"/>
          </w:tcPr>
          <w:p w14:paraId="59A6D4B4" w14:textId="77777777" w:rsidR="00463273" w:rsidRPr="00C47279" w:rsidRDefault="00463273" w:rsidP="00463273">
            <w:pPr>
              <w:spacing w:before="0" w:after="0" w:line="240" w:lineRule="auto"/>
              <w:jc w:val="center"/>
              <w:rPr>
                <w:sz w:val="22"/>
                <w:szCs w:val="22"/>
                <w:lang w:val="en-GB"/>
              </w:rPr>
            </w:pPr>
          </w:p>
        </w:tc>
      </w:tr>
    </w:tbl>
    <w:p w14:paraId="263DEC71" w14:textId="7F6364E8" w:rsidR="00463273" w:rsidRPr="00C47279" w:rsidRDefault="00463273" w:rsidP="00463273">
      <w:pPr>
        <w:rPr>
          <w:sz w:val="22"/>
          <w:szCs w:val="22"/>
          <w:lang w:val="en-GB"/>
        </w:rPr>
      </w:pPr>
      <w:r w:rsidRPr="00C47279">
        <w:rPr>
          <w:sz w:val="22"/>
          <w:szCs w:val="22"/>
          <w:lang w:val="en-GB"/>
        </w:rPr>
        <w:t xml:space="preserve">Average Annual Turnover (three best of the last five years): </w:t>
      </w:r>
      <w:r w:rsidRPr="00C47279">
        <w:rPr>
          <w:sz w:val="22"/>
          <w:szCs w:val="22"/>
          <w:lang w:val="en-GB"/>
        </w:rPr>
        <w:tab/>
      </w:r>
      <w:r w:rsidRPr="00C47279">
        <w:rPr>
          <w:sz w:val="22"/>
          <w:szCs w:val="22"/>
          <w:lang w:val="en-GB"/>
        </w:rPr>
        <w:tab/>
      </w:r>
    </w:p>
    <w:p w14:paraId="30A483EB" w14:textId="77777777" w:rsidR="00463273" w:rsidRPr="00C47279" w:rsidRDefault="00463273" w:rsidP="00463273">
      <w:pPr>
        <w:rPr>
          <w:sz w:val="22"/>
          <w:szCs w:val="22"/>
          <w:lang w:val="en-GB"/>
        </w:rPr>
      </w:pPr>
      <w:r w:rsidRPr="00C47279">
        <w:rPr>
          <w:sz w:val="22"/>
          <w:szCs w:val="22"/>
          <w:lang w:val="en-GB"/>
        </w:rPr>
        <w:t>Notes:</w:t>
      </w:r>
    </w:p>
    <w:p w14:paraId="3265922F" w14:textId="7DFC2469" w:rsidR="00463273" w:rsidRPr="00C47279" w:rsidRDefault="00463273" w:rsidP="00463273">
      <w:pPr>
        <w:rPr>
          <w:sz w:val="22"/>
          <w:szCs w:val="22"/>
          <w:lang w:val="en-GB"/>
        </w:rPr>
      </w:pPr>
      <w:r w:rsidRPr="00C47279">
        <w:rPr>
          <w:sz w:val="22"/>
          <w:szCs w:val="22"/>
          <w:lang w:val="en-GB"/>
        </w:rPr>
        <w:t xml:space="preserve">* The </w:t>
      </w:r>
      <w:r w:rsidR="0017261B" w:rsidRPr="00C47279">
        <w:rPr>
          <w:sz w:val="22"/>
          <w:szCs w:val="22"/>
          <w:lang w:val="en-GB"/>
        </w:rPr>
        <w:t xml:space="preserve">Applicant </w:t>
      </w:r>
      <w:r w:rsidRPr="00C47279">
        <w:rPr>
          <w:sz w:val="22"/>
          <w:szCs w:val="22"/>
          <w:lang w:val="en-GB"/>
        </w:rPr>
        <w:t>shall provide copies of complete financial statements (balance sheets, including all related notes, and income statements) for the</w:t>
      </w:r>
      <w:r w:rsidR="001B32F5">
        <w:rPr>
          <w:sz w:val="22"/>
          <w:szCs w:val="22"/>
          <w:lang w:val="en-GB"/>
        </w:rPr>
        <w:t xml:space="preserve"> relevant five preceding</w:t>
      </w:r>
      <w:r w:rsidRPr="00C47279">
        <w:rPr>
          <w:sz w:val="22"/>
          <w:szCs w:val="22"/>
          <w:lang w:val="en-GB"/>
        </w:rPr>
        <w:t xml:space="preserve"> years complying with the following conditions:</w:t>
      </w:r>
    </w:p>
    <w:p w14:paraId="7DA5D74F" w14:textId="392D56FD" w:rsidR="00463273" w:rsidRPr="00C47279" w:rsidRDefault="00463273" w:rsidP="00463273">
      <w:pPr>
        <w:pStyle w:val="a5"/>
        <w:numPr>
          <w:ilvl w:val="0"/>
          <w:numId w:val="12"/>
        </w:numPr>
        <w:rPr>
          <w:sz w:val="22"/>
          <w:szCs w:val="22"/>
          <w:lang w:val="en-GB"/>
        </w:rPr>
      </w:pPr>
      <w:r w:rsidRPr="00C47279">
        <w:rPr>
          <w:sz w:val="22"/>
          <w:szCs w:val="22"/>
          <w:lang w:val="en-GB"/>
        </w:rPr>
        <w:t xml:space="preserve">Must reflect the financial situation of the </w:t>
      </w:r>
      <w:r w:rsidR="00EE2F76" w:rsidRPr="00C47279">
        <w:rPr>
          <w:sz w:val="22"/>
          <w:szCs w:val="22"/>
          <w:lang w:val="en-GB"/>
        </w:rPr>
        <w:t>Applicant</w:t>
      </w:r>
      <w:r w:rsidRPr="00C47279">
        <w:rPr>
          <w:sz w:val="22"/>
          <w:szCs w:val="22"/>
          <w:lang w:val="en-GB"/>
        </w:rPr>
        <w:t xml:space="preserve"> or partner to a JVCA, but not consolidated statements</w:t>
      </w:r>
    </w:p>
    <w:p w14:paraId="5E41E16A" w14:textId="71581F3F" w:rsidR="00463273" w:rsidRPr="00C47279" w:rsidRDefault="00463273" w:rsidP="00463273">
      <w:pPr>
        <w:pStyle w:val="a5"/>
        <w:numPr>
          <w:ilvl w:val="0"/>
          <w:numId w:val="12"/>
        </w:numPr>
        <w:rPr>
          <w:sz w:val="22"/>
          <w:szCs w:val="22"/>
          <w:lang w:val="en-GB"/>
        </w:rPr>
      </w:pPr>
      <w:r w:rsidRPr="00C47279">
        <w:rPr>
          <w:sz w:val="22"/>
          <w:szCs w:val="22"/>
          <w:lang w:val="en-GB"/>
        </w:rPr>
        <w:t>Historic financial statements must correspond to accounting periods already completed and audited (no statements for partial periods shall be accepted)</w:t>
      </w:r>
    </w:p>
    <w:p w14:paraId="2071991E" w14:textId="4FF05C97" w:rsidR="00463273" w:rsidRPr="00C47279" w:rsidRDefault="00463273" w:rsidP="00463273">
      <w:pPr>
        <w:pStyle w:val="a5"/>
        <w:numPr>
          <w:ilvl w:val="0"/>
          <w:numId w:val="12"/>
        </w:numPr>
        <w:rPr>
          <w:sz w:val="22"/>
          <w:szCs w:val="22"/>
          <w:lang w:val="en-GB"/>
        </w:rPr>
      </w:pPr>
      <w:r w:rsidRPr="00C47279">
        <w:rPr>
          <w:sz w:val="22"/>
          <w:szCs w:val="22"/>
          <w:lang w:val="en-GB"/>
        </w:rPr>
        <w:t xml:space="preserve">Historic financial statements shall be checked in compliance with the national legislation of the </w:t>
      </w:r>
      <w:r w:rsidR="00EE2F76" w:rsidRPr="00C47279">
        <w:rPr>
          <w:sz w:val="22"/>
          <w:szCs w:val="22"/>
          <w:lang w:val="en-GB"/>
        </w:rPr>
        <w:t>Applicant</w:t>
      </w:r>
      <w:r w:rsidRPr="00C47279">
        <w:rPr>
          <w:sz w:val="22"/>
          <w:szCs w:val="22"/>
          <w:lang w:val="en-GB"/>
        </w:rPr>
        <w:t xml:space="preserve">’s country and shall be evidenced by the documents issued by the relative authorities of the </w:t>
      </w:r>
      <w:r w:rsidR="00EE2F76" w:rsidRPr="00C47279">
        <w:rPr>
          <w:sz w:val="22"/>
          <w:szCs w:val="22"/>
          <w:lang w:val="en-GB"/>
        </w:rPr>
        <w:t>Applicant</w:t>
      </w:r>
      <w:r w:rsidRPr="00C47279">
        <w:rPr>
          <w:sz w:val="22"/>
          <w:szCs w:val="22"/>
          <w:lang w:val="en-GB"/>
        </w:rPr>
        <w:t>’s country</w:t>
      </w:r>
    </w:p>
    <w:p w14:paraId="531CF980" w14:textId="24E89679" w:rsidR="00A66D2F" w:rsidRPr="00C47279" w:rsidRDefault="00A66D2F">
      <w:pPr>
        <w:spacing w:before="0" w:after="0" w:line="240" w:lineRule="auto"/>
        <w:rPr>
          <w:sz w:val="22"/>
          <w:szCs w:val="22"/>
          <w:lang w:val="en-GB"/>
        </w:rPr>
      </w:pPr>
      <w:r w:rsidRPr="00C47279">
        <w:rPr>
          <w:sz w:val="22"/>
          <w:szCs w:val="22"/>
          <w:lang w:val="en-GB"/>
        </w:rPr>
        <w:br w:type="page"/>
      </w:r>
    </w:p>
    <w:p w14:paraId="09E17395" w14:textId="1E6DFAD0" w:rsidR="00A66D2F" w:rsidRPr="00C47279" w:rsidRDefault="00A66D2F" w:rsidP="00A66D2F">
      <w:pPr>
        <w:rPr>
          <w:b/>
          <w:bCs/>
          <w:lang w:val="en-GB"/>
        </w:rPr>
      </w:pPr>
      <w:r w:rsidRPr="00C47279">
        <w:rPr>
          <w:b/>
          <w:bCs/>
          <w:lang w:val="en-GB"/>
        </w:rPr>
        <w:lastRenderedPageBreak/>
        <w:t xml:space="preserve">Appendix </w:t>
      </w:r>
      <w:r w:rsidR="00B673ED" w:rsidRPr="00C47279">
        <w:rPr>
          <w:b/>
          <w:bCs/>
          <w:lang w:val="en-GB"/>
        </w:rPr>
        <w:t>3</w:t>
      </w:r>
    </w:p>
    <w:p w14:paraId="4D978F25" w14:textId="31DA03FC" w:rsidR="00EF0CDC" w:rsidRPr="00C47279" w:rsidRDefault="00EF0CDC" w:rsidP="00EF0CDC">
      <w:pPr>
        <w:rPr>
          <w:b/>
          <w:bCs/>
          <w:lang w:val="en-GB"/>
        </w:rPr>
      </w:pPr>
      <w:r w:rsidRPr="00C47279">
        <w:rPr>
          <w:b/>
          <w:bCs/>
          <w:lang w:val="en-GB"/>
        </w:rPr>
        <w:t>Works Experience</w:t>
      </w:r>
    </w:p>
    <w:tbl>
      <w:tblPr>
        <w:tblW w:w="8789" w:type="dxa"/>
        <w:tblInd w:w="72" w:type="dxa"/>
        <w:tblLayout w:type="fixed"/>
        <w:tblCellMar>
          <w:left w:w="72" w:type="dxa"/>
          <w:right w:w="72" w:type="dxa"/>
        </w:tblCellMar>
        <w:tblLook w:val="0000" w:firstRow="0" w:lastRow="0" w:firstColumn="0" w:lastColumn="0" w:noHBand="0" w:noVBand="0"/>
      </w:tblPr>
      <w:tblGrid>
        <w:gridCol w:w="4315"/>
        <w:gridCol w:w="3206"/>
        <w:gridCol w:w="1268"/>
      </w:tblGrid>
      <w:tr w:rsidR="00F50D3B" w:rsidRPr="00C47279" w14:paraId="23DF336A" w14:textId="77777777" w:rsidTr="00AB4613">
        <w:trPr>
          <w:cantSplit/>
          <w:tblHeader/>
        </w:trPr>
        <w:tc>
          <w:tcPr>
            <w:tcW w:w="4315" w:type="dxa"/>
            <w:tcBorders>
              <w:top w:val="single" w:sz="6" w:space="0" w:color="auto"/>
              <w:left w:val="single" w:sz="6" w:space="0" w:color="auto"/>
              <w:bottom w:val="single" w:sz="6" w:space="0" w:color="auto"/>
              <w:right w:val="single" w:sz="6" w:space="0" w:color="auto"/>
            </w:tcBorders>
          </w:tcPr>
          <w:p w14:paraId="5313A3F3" w14:textId="77777777" w:rsidR="00F50D3B" w:rsidRPr="00C47279" w:rsidRDefault="00F50D3B" w:rsidP="00F50D3B">
            <w:pPr>
              <w:suppressAutoHyphens/>
              <w:spacing w:before="60" w:after="60" w:line="240" w:lineRule="auto"/>
              <w:rPr>
                <w:b/>
                <w:spacing w:val="-2"/>
                <w:sz w:val="20"/>
                <w:lang w:val="en-GB"/>
              </w:rPr>
            </w:pPr>
            <w:r w:rsidRPr="00C47279">
              <w:rPr>
                <w:b/>
                <w:spacing w:val="-2"/>
                <w:sz w:val="20"/>
                <w:lang w:val="en-GB"/>
              </w:rPr>
              <w:t xml:space="preserve">Similar Contract No. </w:t>
            </w:r>
            <w:r w:rsidRPr="00C47279">
              <w:rPr>
                <w:b/>
                <w:i/>
                <w:iCs/>
                <w:spacing w:val="-2"/>
                <w:sz w:val="20"/>
                <w:highlight w:val="yellow"/>
                <w:lang w:val="en-GB"/>
              </w:rPr>
              <w:t>[insert specific number] of [total number of the required contracts]</w:t>
            </w:r>
          </w:p>
        </w:tc>
        <w:tc>
          <w:tcPr>
            <w:tcW w:w="4474" w:type="dxa"/>
            <w:gridSpan w:val="2"/>
            <w:tcBorders>
              <w:top w:val="single" w:sz="6" w:space="0" w:color="auto"/>
              <w:left w:val="single" w:sz="6" w:space="0" w:color="auto"/>
              <w:bottom w:val="single" w:sz="6" w:space="0" w:color="auto"/>
              <w:right w:val="single" w:sz="6" w:space="0" w:color="auto"/>
            </w:tcBorders>
            <w:vAlign w:val="center"/>
          </w:tcPr>
          <w:p w14:paraId="33858229" w14:textId="77777777" w:rsidR="00F50D3B" w:rsidRPr="00C47279" w:rsidRDefault="00F50D3B" w:rsidP="00F50D3B">
            <w:pPr>
              <w:suppressAutoHyphens/>
              <w:spacing w:before="60" w:after="60" w:line="240" w:lineRule="auto"/>
              <w:jc w:val="center"/>
              <w:rPr>
                <w:b/>
                <w:spacing w:val="-2"/>
                <w:sz w:val="20"/>
                <w:lang w:val="en-GB"/>
              </w:rPr>
            </w:pPr>
            <w:r w:rsidRPr="00C47279">
              <w:rPr>
                <w:b/>
                <w:spacing w:val="-2"/>
                <w:sz w:val="20"/>
                <w:lang w:val="en-GB"/>
              </w:rPr>
              <w:t>Information</w:t>
            </w:r>
          </w:p>
        </w:tc>
      </w:tr>
      <w:tr w:rsidR="00F50D3B" w:rsidRPr="00C47279" w14:paraId="16A5F8E1" w14:textId="77777777" w:rsidTr="00AB4613">
        <w:trPr>
          <w:cantSplit/>
        </w:trPr>
        <w:tc>
          <w:tcPr>
            <w:tcW w:w="4315" w:type="dxa"/>
            <w:tcBorders>
              <w:top w:val="single" w:sz="6" w:space="0" w:color="auto"/>
              <w:left w:val="single" w:sz="6" w:space="0" w:color="auto"/>
              <w:bottom w:val="single" w:sz="6" w:space="0" w:color="auto"/>
              <w:right w:val="single" w:sz="6" w:space="0" w:color="auto"/>
            </w:tcBorders>
          </w:tcPr>
          <w:p w14:paraId="44C43F27" w14:textId="77777777" w:rsidR="00F50D3B" w:rsidRPr="00C47279" w:rsidRDefault="00F50D3B" w:rsidP="00F50D3B">
            <w:pPr>
              <w:pStyle w:val="a6"/>
              <w:spacing w:before="60" w:after="60" w:line="240" w:lineRule="auto"/>
              <w:rPr>
                <w:sz w:val="20"/>
                <w:lang w:val="en-GB"/>
              </w:rPr>
            </w:pPr>
            <w:r w:rsidRPr="00C47279">
              <w:rPr>
                <w:sz w:val="20"/>
                <w:lang w:val="en-GB"/>
              </w:rPr>
              <w:t>Contract Identification</w:t>
            </w:r>
          </w:p>
        </w:tc>
        <w:tc>
          <w:tcPr>
            <w:tcW w:w="4474" w:type="dxa"/>
            <w:gridSpan w:val="2"/>
            <w:tcBorders>
              <w:top w:val="single" w:sz="6" w:space="0" w:color="auto"/>
              <w:left w:val="single" w:sz="6" w:space="0" w:color="auto"/>
              <w:bottom w:val="single" w:sz="6" w:space="0" w:color="auto"/>
              <w:right w:val="single" w:sz="6" w:space="0" w:color="auto"/>
            </w:tcBorders>
          </w:tcPr>
          <w:p w14:paraId="37B7863F" w14:textId="77777777" w:rsidR="00F50D3B" w:rsidRPr="00C47279" w:rsidRDefault="00F50D3B" w:rsidP="00F50D3B">
            <w:pPr>
              <w:pStyle w:val="a6"/>
              <w:spacing w:before="60" w:after="60" w:line="240" w:lineRule="auto"/>
              <w:rPr>
                <w:sz w:val="20"/>
                <w:lang w:val="en-GB"/>
              </w:rPr>
            </w:pPr>
          </w:p>
        </w:tc>
      </w:tr>
      <w:tr w:rsidR="00F50D3B" w:rsidRPr="00C47279" w14:paraId="31A307B7" w14:textId="77777777" w:rsidTr="00AB4613">
        <w:trPr>
          <w:cantSplit/>
          <w:trHeight w:val="422"/>
        </w:trPr>
        <w:tc>
          <w:tcPr>
            <w:tcW w:w="4315" w:type="dxa"/>
            <w:tcBorders>
              <w:top w:val="single" w:sz="6" w:space="0" w:color="auto"/>
              <w:left w:val="single" w:sz="6" w:space="0" w:color="auto"/>
              <w:bottom w:val="single" w:sz="6" w:space="0" w:color="auto"/>
              <w:right w:val="single" w:sz="6" w:space="0" w:color="auto"/>
            </w:tcBorders>
          </w:tcPr>
          <w:p w14:paraId="784988FB" w14:textId="77777777" w:rsidR="00F50D3B" w:rsidRPr="00C47279" w:rsidRDefault="00F50D3B" w:rsidP="00F50D3B">
            <w:pPr>
              <w:pStyle w:val="a6"/>
              <w:spacing w:before="60" w:after="60" w:line="240" w:lineRule="auto"/>
              <w:rPr>
                <w:sz w:val="20"/>
                <w:lang w:val="en-GB"/>
              </w:rPr>
            </w:pPr>
            <w:r w:rsidRPr="00C47279">
              <w:rPr>
                <w:sz w:val="20"/>
                <w:lang w:val="en-GB"/>
              </w:rPr>
              <w:t xml:space="preserve">Signing date </w:t>
            </w:r>
          </w:p>
        </w:tc>
        <w:tc>
          <w:tcPr>
            <w:tcW w:w="4474" w:type="dxa"/>
            <w:gridSpan w:val="2"/>
            <w:tcBorders>
              <w:top w:val="single" w:sz="6" w:space="0" w:color="auto"/>
              <w:left w:val="nil"/>
              <w:bottom w:val="single" w:sz="6" w:space="0" w:color="auto"/>
              <w:right w:val="single" w:sz="6" w:space="0" w:color="auto"/>
            </w:tcBorders>
          </w:tcPr>
          <w:p w14:paraId="3818FCB2" w14:textId="77777777" w:rsidR="00F50D3B" w:rsidRPr="00C47279" w:rsidRDefault="00F50D3B" w:rsidP="00F50D3B">
            <w:pPr>
              <w:pStyle w:val="a6"/>
              <w:spacing w:before="60" w:after="60" w:line="240" w:lineRule="auto"/>
              <w:rPr>
                <w:sz w:val="20"/>
                <w:lang w:val="en-GB"/>
              </w:rPr>
            </w:pPr>
          </w:p>
        </w:tc>
      </w:tr>
      <w:tr w:rsidR="00F50D3B" w:rsidRPr="00C47279" w14:paraId="263742EC" w14:textId="77777777" w:rsidTr="00AB4613">
        <w:trPr>
          <w:cantSplit/>
        </w:trPr>
        <w:tc>
          <w:tcPr>
            <w:tcW w:w="4315" w:type="dxa"/>
            <w:tcBorders>
              <w:top w:val="single" w:sz="6" w:space="0" w:color="auto"/>
              <w:left w:val="single" w:sz="6" w:space="0" w:color="auto"/>
              <w:bottom w:val="single" w:sz="6" w:space="0" w:color="auto"/>
              <w:right w:val="single" w:sz="6" w:space="0" w:color="auto"/>
            </w:tcBorders>
          </w:tcPr>
          <w:p w14:paraId="566BC328" w14:textId="77777777" w:rsidR="00F50D3B" w:rsidRPr="00C47279" w:rsidRDefault="00F50D3B" w:rsidP="00F50D3B">
            <w:pPr>
              <w:pStyle w:val="a6"/>
              <w:spacing w:before="60" w:after="60" w:line="240" w:lineRule="auto"/>
              <w:rPr>
                <w:sz w:val="20"/>
                <w:lang w:val="en-GB"/>
              </w:rPr>
            </w:pPr>
            <w:r w:rsidRPr="00C47279">
              <w:rPr>
                <w:sz w:val="20"/>
                <w:lang w:val="en-GB"/>
              </w:rPr>
              <w:t>Completion date</w:t>
            </w:r>
          </w:p>
        </w:tc>
        <w:tc>
          <w:tcPr>
            <w:tcW w:w="4474" w:type="dxa"/>
            <w:gridSpan w:val="2"/>
            <w:tcBorders>
              <w:top w:val="single" w:sz="6" w:space="0" w:color="auto"/>
              <w:left w:val="nil"/>
              <w:bottom w:val="single" w:sz="6" w:space="0" w:color="auto"/>
              <w:right w:val="single" w:sz="6" w:space="0" w:color="auto"/>
            </w:tcBorders>
          </w:tcPr>
          <w:p w14:paraId="7F2AC0E6" w14:textId="77777777" w:rsidR="00F50D3B" w:rsidRPr="00C47279" w:rsidRDefault="00F50D3B" w:rsidP="00F50D3B">
            <w:pPr>
              <w:pStyle w:val="a6"/>
              <w:spacing w:before="60" w:after="60" w:line="240" w:lineRule="auto"/>
              <w:rPr>
                <w:sz w:val="20"/>
                <w:lang w:val="en-GB"/>
              </w:rPr>
            </w:pPr>
          </w:p>
        </w:tc>
      </w:tr>
      <w:tr w:rsidR="00F50D3B" w:rsidRPr="00C47279" w14:paraId="3121909A" w14:textId="77777777" w:rsidTr="00AB4613">
        <w:trPr>
          <w:cantSplit/>
        </w:trPr>
        <w:tc>
          <w:tcPr>
            <w:tcW w:w="4315" w:type="dxa"/>
            <w:tcBorders>
              <w:top w:val="single" w:sz="6" w:space="0" w:color="auto"/>
              <w:left w:val="single" w:sz="6" w:space="0" w:color="auto"/>
              <w:bottom w:val="single" w:sz="6" w:space="0" w:color="auto"/>
              <w:right w:val="single" w:sz="6" w:space="0" w:color="auto"/>
            </w:tcBorders>
          </w:tcPr>
          <w:p w14:paraId="310F2BE1" w14:textId="4301714E" w:rsidR="00C51352" w:rsidRPr="00C47279" w:rsidRDefault="00F50D3B" w:rsidP="00C51352">
            <w:pPr>
              <w:suppressAutoHyphens/>
              <w:spacing w:before="60" w:after="60" w:line="240" w:lineRule="auto"/>
              <w:rPr>
                <w:spacing w:val="-2"/>
                <w:sz w:val="20"/>
                <w:lang w:val="en-GB"/>
              </w:rPr>
            </w:pPr>
            <w:r w:rsidRPr="00C47279">
              <w:rPr>
                <w:spacing w:val="-2"/>
                <w:sz w:val="20"/>
                <w:lang w:val="en-GB"/>
              </w:rPr>
              <w:t>Role in Contract</w:t>
            </w:r>
            <w:r w:rsidR="00C51352" w:rsidRPr="00C47279">
              <w:rPr>
                <w:spacing w:val="-2"/>
                <w:sz w:val="20"/>
                <w:lang w:val="en-GB"/>
              </w:rPr>
              <w:t xml:space="preserve"> (for example</w:t>
            </w:r>
            <w:r w:rsidR="00F7614F" w:rsidRPr="00C47279">
              <w:rPr>
                <w:spacing w:val="-2"/>
                <w:sz w:val="20"/>
                <w:lang w:val="en-GB"/>
              </w:rPr>
              <w:t>,</w:t>
            </w:r>
            <w:r w:rsidR="00C51352" w:rsidRPr="00C47279">
              <w:rPr>
                <w:spacing w:val="-2"/>
                <w:sz w:val="20"/>
                <w:lang w:val="en-GB"/>
              </w:rPr>
              <w:t xml:space="preserve"> main contractor or project manager</w:t>
            </w:r>
            <w:r w:rsidR="00F7614F" w:rsidRPr="00C47279">
              <w:rPr>
                <w:spacing w:val="-2"/>
                <w:sz w:val="20"/>
                <w:lang w:val="en-GB"/>
              </w:rPr>
              <w:t xml:space="preserve"> or equivalent</w:t>
            </w:r>
            <w:r w:rsidR="00C51352" w:rsidRPr="00C47279">
              <w:rPr>
                <w:spacing w:val="-2"/>
                <w:sz w:val="20"/>
                <w:lang w:val="en-GB"/>
              </w:rPr>
              <w:t>)</w:t>
            </w:r>
          </w:p>
        </w:tc>
        <w:tc>
          <w:tcPr>
            <w:tcW w:w="4474" w:type="dxa"/>
            <w:gridSpan w:val="2"/>
            <w:tcBorders>
              <w:top w:val="single" w:sz="6" w:space="0" w:color="auto"/>
              <w:left w:val="nil"/>
              <w:bottom w:val="single" w:sz="6" w:space="0" w:color="auto"/>
              <w:right w:val="single" w:sz="6" w:space="0" w:color="auto"/>
            </w:tcBorders>
          </w:tcPr>
          <w:p w14:paraId="2E132FE8" w14:textId="77777777" w:rsidR="00F50D3B" w:rsidRPr="00C47279" w:rsidRDefault="00F50D3B" w:rsidP="00F50D3B">
            <w:pPr>
              <w:spacing w:before="60" w:after="60" w:line="240" w:lineRule="auto"/>
              <w:rPr>
                <w:spacing w:val="-2"/>
                <w:sz w:val="20"/>
                <w:lang w:val="en-GB"/>
              </w:rPr>
            </w:pPr>
          </w:p>
        </w:tc>
      </w:tr>
      <w:tr w:rsidR="00F50D3B" w:rsidRPr="00C47279" w14:paraId="29CF23BC" w14:textId="77777777" w:rsidTr="00AB4613">
        <w:trPr>
          <w:cantSplit/>
        </w:trPr>
        <w:tc>
          <w:tcPr>
            <w:tcW w:w="4315" w:type="dxa"/>
            <w:tcBorders>
              <w:top w:val="single" w:sz="6" w:space="0" w:color="auto"/>
              <w:left w:val="single" w:sz="6" w:space="0" w:color="auto"/>
              <w:bottom w:val="single" w:sz="6" w:space="0" w:color="auto"/>
              <w:right w:val="single" w:sz="6" w:space="0" w:color="auto"/>
            </w:tcBorders>
          </w:tcPr>
          <w:p w14:paraId="6FB53C0F" w14:textId="6F6AA8B8" w:rsidR="00F50D3B" w:rsidRPr="00C47279" w:rsidRDefault="00F50D3B" w:rsidP="00F50D3B">
            <w:pPr>
              <w:pStyle w:val="a6"/>
              <w:spacing w:before="60" w:after="60" w:line="240" w:lineRule="auto"/>
              <w:rPr>
                <w:sz w:val="20"/>
                <w:lang w:val="en-GB"/>
              </w:rPr>
            </w:pPr>
            <w:r w:rsidRPr="00C47279">
              <w:rPr>
                <w:sz w:val="20"/>
                <w:lang w:val="en-GB"/>
              </w:rPr>
              <w:t>Total Contract amount</w:t>
            </w:r>
          </w:p>
        </w:tc>
        <w:tc>
          <w:tcPr>
            <w:tcW w:w="3206" w:type="dxa"/>
            <w:tcBorders>
              <w:top w:val="single" w:sz="6" w:space="0" w:color="auto"/>
              <w:left w:val="nil"/>
              <w:bottom w:val="single" w:sz="6" w:space="0" w:color="auto"/>
              <w:right w:val="single" w:sz="6" w:space="0" w:color="auto"/>
            </w:tcBorders>
          </w:tcPr>
          <w:p w14:paraId="16CDFCAB" w14:textId="77777777" w:rsidR="00F50D3B" w:rsidRPr="00C47279" w:rsidRDefault="00F50D3B" w:rsidP="00F50D3B">
            <w:pPr>
              <w:pStyle w:val="a6"/>
              <w:spacing w:before="60" w:after="60" w:line="240" w:lineRule="auto"/>
              <w:rPr>
                <w:sz w:val="20"/>
                <w:lang w:val="en-GB"/>
              </w:rPr>
            </w:pPr>
          </w:p>
        </w:tc>
        <w:tc>
          <w:tcPr>
            <w:tcW w:w="1268" w:type="dxa"/>
            <w:tcBorders>
              <w:top w:val="single" w:sz="6" w:space="0" w:color="auto"/>
              <w:left w:val="single" w:sz="6" w:space="0" w:color="auto"/>
              <w:bottom w:val="single" w:sz="6" w:space="0" w:color="auto"/>
              <w:right w:val="single" w:sz="6" w:space="0" w:color="auto"/>
            </w:tcBorders>
          </w:tcPr>
          <w:p w14:paraId="7762F147" w14:textId="52D5CEC8" w:rsidR="00F50D3B" w:rsidRPr="00C47279" w:rsidRDefault="00F50D3B" w:rsidP="00F50D3B">
            <w:pPr>
              <w:pStyle w:val="a6"/>
              <w:spacing w:before="60" w:after="60" w:line="240" w:lineRule="auto"/>
              <w:rPr>
                <w:sz w:val="20"/>
                <w:lang w:val="en-GB"/>
              </w:rPr>
            </w:pPr>
            <w:r w:rsidRPr="00C47279">
              <w:rPr>
                <w:sz w:val="20"/>
                <w:highlight w:val="yellow"/>
                <w:lang w:val="en-GB"/>
              </w:rPr>
              <w:t>currency</w:t>
            </w:r>
          </w:p>
        </w:tc>
      </w:tr>
      <w:tr w:rsidR="00F50D3B" w:rsidRPr="00C47279" w14:paraId="2715F563" w14:textId="77777777" w:rsidTr="00EA6CAD">
        <w:trPr>
          <w:cantSplit/>
        </w:trPr>
        <w:tc>
          <w:tcPr>
            <w:tcW w:w="4315" w:type="dxa"/>
            <w:tcBorders>
              <w:top w:val="single" w:sz="6" w:space="0" w:color="auto"/>
              <w:left w:val="single" w:sz="6" w:space="0" w:color="auto"/>
              <w:bottom w:val="single" w:sz="6" w:space="0" w:color="auto"/>
              <w:right w:val="single" w:sz="6" w:space="0" w:color="auto"/>
            </w:tcBorders>
          </w:tcPr>
          <w:p w14:paraId="0A9AAF5A" w14:textId="084B1760" w:rsidR="00F50D3B" w:rsidRPr="00C47279" w:rsidRDefault="00F50D3B" w:rsidP="00F50D3B">
            <w:pPr>
              <w:pStyle w:val="a6"/>
              <w:spacing w:before="60" w:after="60" w:line="240" w:lineRule="auto"/>
              <w:rPr>
                <w:sz w:val="20"/>
                <w:lang w:val="en-GB"/>
              </w:rPr>
            </w:pPr>
            <w:r w:rsidRPr="00C47279">
              <w:rPr>
                <w:sz w:val="20"/>
                <w:lang w:val="en-GB"/>
              </w:rPr>
              <w:t>If a partner in a JVCA, specify participation in total contract amount</w:t>
            </w:r>
          </w:p>
        </w:tc>
        <w:tc>
          <w:tcPr>
            <w:tcW w:w="4474" w:type="dxa"/>
            <w:gridSpan w:val="2"/>
            <w:tcBorders>
              <w:top w:val="single" w:sz="6" w:space="0" w:color="auto"/>
              <w:left w:val="nil"/>
              <w:bottom w:val="single" w:sz="6" w:space="0" w:color="auto"/>
              <w:right w:val="single" w:sz="6" w:space="0" w:color="auto"/>
            </w:tcBorders>
          </w:tcPr>
          <w:p w14:paraId="69142A9A" w14:textId="77777777" w:rsidR="00F50D3B" w:rsidRPr="00C47279" w:rsidRDefault="00F50D3B" w:rsidP="00F50D3B">
            <w:pPr>
              <w:pStyle w:val="a6"/>
              <w:spacing w:before="60" w:after="60" w:line="240" w:lineRule="auto"/>
              <w:rPr>
                <w:sz w:val="20"/>
                <w:lang w:val="en-GB"/>
              </w:rPr>
            </w:pPr>
          </w:p>
          <w:p w14:paraId="4509E153" w14:textId="45B34D75" w:rsidR="00F50D3B" w:rsidRPr="00C47279" w:rsidRDefault="00F50D3B" w:rsidP="00F50D3B">
            <w:pPr>
              <w:pStyle w:val="a6"/>
              <w:spacing w:before="60" w:after="60" w:line="240" w:lineRule="auto"/>
              <w:rPr>
                <w:sz w:val="20"/>
                <w:lang w:val="en-GB"/>
              </w:rPr>
            </w:pPr>
            <w:r w:rsidRPr="00C47279">
              <w:rPr>
                <w:sz w:val="20"/>
                <w:lang w:val="en-GB"/>
              </w:rPr>
              <w:t>_________%</w:t>
            </w:r>
          </w:p>
        </w:tc>
      </w:tr>
      <w:tr w:rsidR="00F50D3B" w:rsidRPr="00C47279" w14:paraId="735E2EE8" w14:textId="77777777" w:rsidTr="00AB4613">
        <w:trPr>
          <w:cantSplit/>
        </w:trPr>
        <w:tc>
          <w:tcPr>
            <w:tcW w:w="4315" w:type="dxa"/>
            <w:tcBorders>
              <w:top w:val="single" w:sz="6" w:space="0" w:color="auto"/>
              <w:left w:val="single" w:sz="6" w:space="0" w:color="auto"/>
              <w:bottom w:val="single" w:sz="6" w:space="0" w:color="auto"/>
              <w:right w:val="single" w:sz="6" w:space="0" w:color="auto"/>
            </w:tcBorders>
          </w:tcPr>
          <w:p w14:paraId="10738E57" w14:textId="77777777" w:rsidR="00F50D3B" w:rsidRPr="00C47279" w:rsidRDefault="00F50D3B" w:rsidP="00F50D3B">
            <w:pPr>
              <w:pStyle w:val="a6"/>
              <w:spacing w:before="60" w:after="60" w:line="240" w:lineRule="auto"/>
              <w:rPr>
                <w:sz w:val="20"/>
                <w:lang w:val="en-GB"/>
              </w:rPr>
            </w:pPr>
            <w:r w:rsidRPr="00C47279">
              <w:rPr>
                <w:sz w:val="20"/>
                <w:lang w:val="en-GB"/>
              </w:rPr>
              <w:t>Employer’s name:</w:t>
            </w:r>
          </w:p>
        </w:tc>
        <w:tc>
          <w:tcPr>
            <w:tcW w:w="4474" w:type="dxa"/>
            <w:gridSpan w:val="2"/>
            <w:tcBorders>
              <w:top w:val="single" w:sz="6" w:space="0" w:color="auto"/>
              <w:left w:val="nil"/>
              <w:bottom w:val="single" w:sz="6" w:space="0" w:color="auto"/>
              <w:right w:val="single" w:sz="6" w:space="0" w:color="auto"/>
            </w:tcBorders>
          </w:tcPr>
          <w:p w14:paraId="3C285C00" w14:textId="77777777" w:rsidR="00F50D3B" w:rsidRPr="00C47279" w:rsidRDefault="00F50D3B" w:rsidP="00F50D3B">
            <w:pPr>
              <w:pStyle w:val="a6"/>
              <w:spacing w:before="60" w:after="60" w:line="240" w:lineRule="auto"/>
              <w:rPr>
                <w:sz w:val="20"/>
                <w:lang w:val="en-GB"/>
              </w:rPr>
            </w:pPr>
          </w:p>
        </w:tc>
      </w:tr>
      <w:tr w:rsidR="00F50D3B" w:rsidRPr="00C47279" w14:paraId="3D54CC44" w14:textId="77777777" w:rsidTr="00AB4613">
        <w:trPr>
          <w:cantSplit/>
        </w:trPr>
        <w:tc>
          <w:tcPr>
            <w:tcW w:w="4315" w:type="dxa"/>
            <w:tcBorders>
              <w:top w:val="single" w:sz="6" w:space="0" w:color="auto"/>
              <w:left w:val="single" w:sz="6" w:space="0" w:color="auto"/>
              <w:bottom w:val="single" w:sz="6" w:space="0" w:color="auto"/>
              <w:right w:val="single" w:sz="6" w:space="0" w:color="auto"/>
            </w:tcBorders>
          </w:tcPr>
          <w:p w14:paraId="640C9F37" w14:textId="77777777" w:rsidR="00F7614F" w:rsidRPr="00C47279" w:rsidRDefault="00F50D3B" w:rsidP="00F50D3B">
            <w:pPr>
              <w:pStyle w:val="a6"/>
              <w:spacing w:before="60" w:after="60" w:line="240" w:lineRule="auto"/>
              <w:rPr>
                <w:sz w:val="20"/>
                <w:lang w:val="en-GB"/>
              </w:rPr>
            </w:pPr>
            <w:r w:rsidRPr="00C47279">
              <w:rPr>
                <w:sz w:val="20"/>
                <w:lang w:val="en-GB"/>
              </w:rPr>
              <w:t>Employer’s contact person</w:t>
            </w:r>
          </w:p>
          <w:p w14:paraId="445CCACA" w14:textId="77777777" w:rsidR="00F7614F" w:rsidRPr="00C47279" w:rsidRDefault="00F50D3B" w:rsidP="00F50D3B">
            <w:pPr>
              <w:pStyle w:val="a6"/>
              <w:spacing w:before="60" w:after="60" w:line="240" w:lineRule="auto"/>
              <w:rPr>
                <w:sz w:val="20"/>
                <w:lang w:val="en-GB"/>
              </w:rPr>
            </w:pPr>
            <w:r w:rsidRPr="00C47279">
              <w:rPr>
                <w:sz w:val="20"/>
                <w:lang w:val="en-GB"/>
              </w:rPr>
              <w:t>Address:</w:t>
            </w:r>
          </w:p>
          <w:p w14:paraId="7091B2D3" w14:textId="1F100356" w:rsidR="00F50D3B" w:rsidRPr="00C47279" w:rsidRDefault="00F50D3B" w:rsidP="00F50D3B">
            <w:pPr>
              <w:pStyle w:val="a6"/>
              <w:spacing w:before="60" w:after="60" w:line="240" w:lineRule="auto"/>
              <w:rPr>
                <w:sz w:val="20"/>
                <w:lang w:val="en-GB"/>
              </w:rPr>
            </w:pPr>
            <w:r w:rsidRPr="00C47279">
              <w:rPr>
                <w:sz w:val="20"/>
                <w:lang w:val="en-GB"/>
              </w:rPr>
              <w:t>Contact telephone:</w:t>
            </w:r>
          </w:p>
          <w:p w14:paraId="20864530" w14:textId="77777777" w:rsidR="00F50D3B" w:rsidRPr="00C47279" w:rsidRDefault="00F50D3B" w:rsidP="00F50D3B">
            <w:pPr>
              <w:pStyle w:val="a6"/>
              <w:spacing w:before="60" w:after="60" w:line="240" w:lineRule="auto"/>
              <w:rPr>
                <w:sz w:val="20"/>
                <w:lang w:val="en-GB"/>
              </w:rPr>
            </w:pPr>
            <w:r w:rsidRPr="00C47279">
              <w:rPr>
                <w:sz w:val="20"/>
                <w:lang w:val="en-GB"/>
              </w:rPr>
              <w:t>E-mail address:</w:t>
            </w:r>
          </w:p>
          <w:p w14:paraId="5A1908A5" w14:textId="77777777" w:rsidR="00F50D3B" w:rsidRPr="00C47279" w:rsidRDefault="00F50D3B" w:rsidP="00F50D3B">
            <w:pPr>
              <w:pStyle w:val="a6"/>
              <w:spacing w:before="60" w:after="60" w:line="240" w:lineRule="auto"/>
              <w:rPr>
                <w:sz w:val="20"/>
                <w:lang w:val="en-GB"/>
              </w:rPr>
            </w:pPr>
            <w:r w:rsidRPr="00C47279">
              <w:rPr>
                <w:sz w:val="20"/>
                <w:lang w:val="en-GB"/>
              </w:rPr>
              <w:t>Contact person:</w:t>
            </w:r>
          </w:p>
        </w:tc>
        <w:tc>
          <w:tcPr>
            <w:tcW w:w="4474" w:type="dxa"/>
            <w:gridSpan w:val="2"/>
            <w:tcBorders>
              <w:top w:val="single" w:sz="6" w:space="0" w:color="auto"/>
              <w:left w:val="nil"/>
              <w:bottom w:val="single" w:sz="6" w:space="0" w:color="auto"/>
              <w:right w:val="single" w:sz="6" w:space="0" w:color="auto"/>
            </w:tcBorders>
          </w:tcPr>
          <w:p w14:paraId="0D6D835A" w14:textId="77777777" w:rsidR="00F50D3B" w:rsidRPr="00C47279" w:rsidRDefault="00F50D3B" w:rsidP="00F50D3B">
            <w:pPr>
              <w:pStyle w:val="a6"/>
              <w:spacing w:before="60" w:after="60" w:line="240" w:lineRule="auto"/>
              <w:rPr>
                <w:sz w:val="20"/>
                <w:lang w:val="en-GB"/>
              </w:rPr>
            </w:pPr>
            <w:r w:rsidRPr="00C47279">
              <w:rPr>
                <w:sz w:val="20"/>
                <w:lang w:val="en-GB"/>
              </w:rPr>
              <w:t>:</w:t>
            </w:r>
          </w:p>
        </w:tc>
      </w:tr>
      <w:tr w:rsidR="00F50D3B" w:rsidRPr="00C47279" w14:paraId="2CE9B295" w14:textId="77777777" w:rsidTr="00AB4613">
        <w:trPr>
          <w:cantSplit/>
          <w:trHeight w:val="699"/>
        </w:trPr>
        <w:tc>
          <w:tcPr>
            <w:tcW w:w="4315" w:type="dxa"/>
            <w:tcBorders>
              <w:top w:val="single" w:sz="4" w:space="0" w:color="auto"/>
              <w:left w:val="single" w:sz="6" w:space="0" w:color="auto"/>
              <w:bottom w:val="single" w:sz="4" w:space="0" w:color="auto"/>
              <w:right w:val="single" w:sz="6" w:space="0" w:color="auto"/>
            </w:tcBorders>
          </w:tcPr>
          <w:p w14:paraId="792D2BDC" w14:textId="02AF4366" w:rsidR="00F50D3B" w:rsidRPr="00C47279" w:rsidRDefault="00F50D3B" w:rsidP="00F50D3B">
            <w:pPr>
              <w:spacing w:before="60" w:after="60" w:line="240" w:lineRule="auto"/>
              <w:rPr>
                <w:spacing w:val="-2"/>
                <w:sz w:val="20"/>
                <w:lang w:val="en-GB"/>
              </w:rPr>
            </w:pPr>
            <w:r w:rsidRPr="00C47279">
              <w:rPr>
                <w:sz w:val="20"/>
                <w:lang w:val="en-GB"/>
              </w:rPr>
              <w:t>Description of the similarity</w:t>
            </w:r>
          </w:p>
        </w:tc>
        <w:tc>
          <w:tcPr>
            <w:tcW w:w="4474" w:type="dxa"/>
            <w:gridSpan w:val="2"/>
            <w:tcBorders>
              <w:top w:val="single" w:sz="4" w:space="0" w:color="auto"/>
              <w:left w:val="single" w:sz="6" w:space="0" w:color="auto"/>
              <w:bottom w:val="single" w:sz="4" w:space="0" w:color="auto"/>
              <w:right w:val="single" w:sz="6" w:space="0" w:color="auto"/>
            </w:tcBorders>
          </w:tcPr>
          <w:p w14:paraId="54F88AFC" w14:textId="77777777" w:rsidR="00F50D3B" w:rsidRPr="00C47279" w:rsidRDefault="00F50D3B" w:rsidP="00F50D3B">
            <w:pPr>
              <w:spacing w:before="60" w:after="60" w:line="240" w:lineRule="auto"/>
              <w:rPr>
                <w:sz w:val="20"/>
                <w:lang w:val="en-GB"/>
              </w:rPr>
            </w:pPr>
          </w:p>
          <w:p w14:paraId="5DF8CD52" w14:textId="77777777" w:rsidR="00F50D3B" w:rsidRPr="00C47279" w:rsidRDefault="00F50D3B" w:rsidP="00F50D3B">
            <w:pPr>
              <w:spacing w:before="60" w:after="60" w:line="240" w:lineRule="auto"/>
              <w:rPr>
                <w:spacing w:val="-2"/>
                <w:sz w:val="20"/>
                <w:lang w:val="en-GB"/>
              </w:rPr>
            </w:pPr>
          </w:p>
        </w:tc>
      </w:tr>
      <w:tr w:rsidR="00F50D3B" w:rsidRPr="00C47279" w14:paraId="5BC87441" w14:textId="77777777" w:rsidTr="00AB4613">
        <w:trPr>
          <w:cantSplit/>
          <w:trHeight w:val="699"/>
        </w:trPr>
        <w:tc>
          <w:tcPr>
            <w:tcW w:w="4315" w:type="dxa"/>
            <w:tcBorders>
              <w:top w:val="single" w:sz="4" w:space="0" w:color="auto"/>
              <w:left w:val="single" w:sz="6" w:space="0" w:color="auto"/>
              <w:bottom w:val="single" w:sz="4" w:space="0" w:color="auto"/>
              <w:right w:val="single" w:sz="6" w:space="0" w:color="auto"/>
            </w:tcBorders>
          </w:tcPr>
          <w:p w14:paraId="1C74D845" w14:textId="77777777" w:rsidR="00F50D3B" w:rsidRPr="00C47279" w:rsidRDefault="00F50D3B" w:rsidP="00F50D3B">
            <w:pPr>
              <w:spacing w:before="60" w:after="60" w:line="240" w:lineRule="auto"/>
              <w:rPr>
                <w:sz w:val="20"/>
                <w:lang w:val="en-GB"/>
              </w:rPr>
            </w:pPr>
            <w:r w:rsidRPr="00C47279">
              <w:rPr>
                <w:sz w:val="20"/>
                <w:lang w:val="en-GB"/>
              </w:rPr>
              <w:t>Physical size</w:t>
            </w:r>
          </w:p>
          <w:p w14:paraId="4999963F" w14:textId="18B942D3" w:rsidR="00F50D3B" w:rsidRPr="00C47279" w:rsidRDefault="00F50D3B" w:rsidP="00F50D3B">
            <w:pPr>
              <w:spacing w:before="60" w:after="60" w:line="240" w:lineRule="auto"/>
              <w:rPr>
                <w:sz w:val="20"/>
                <w:lang w:val="en-GB"/>
              </w:rPr>
            </w:pPr>
            <w:r w:rsidRPr="00C47279">
              <w:rPr>
                <w:i/>
                <w:iCs/>
                <w:sz w:val="20"/>
                <w:lang w:val="en-GB"/>
              </w:rPr>
              <w:t>[indicate the approximate volumes of the performed works.]</w:t>
            </w:r>
          </w:p>
        </w:tc>
        <w:tc>
          <w:tcPr>
            <w:tcW w:w="4474" w:type="dxa"/>
            <w:gridSpan w:val="2"/>
            <w:tcBorders>
              <w:top w:val="single" w:sz="4" w:space="0" w:color="auto"/>
              <w:left w:val="single" w:sz="6" w:space="0" w:color="auto"/>
              <w:bottom w:val="single" w:sz="4" w:space="0" w:color="auto"/>
              <w:right w:val="single" w:sz="6" w:space="0" w:color="auto"/>
            </w:tcBorders>
          </w:tcPr>
          <w:p w14:paraId="2425DE28" w14:textId="77777777" w:rsidR="00F50D3B" w:rsidRPr="00C47279" w:rsidRDefault="00F50D3B" w:rsidP="00F50D3B">
            <w:pPr>
              <w:spacing w:before="60" w:after="60" w:line="240" w:lineRule="auto"/>
              <w:rPr>
                <w:sz w:val="20"/>
                <w:lang w:val="en-GB"/>
              </w:rPr>
            </w:pPr>
          </w:p>
        </w:tc>
      </w:tr>
      <w:tr w:rsidR="00F50D3B" w:rsidRPr="00C47279" w14:paraId="1E6A2072" w14:textId="77777777" w:rsidTr="00AB4613">
        <w:trPr>
          <w:cantSplit/>
          <w:trHeight w:val="699"/>
        </w:trPr>
        <w:tc>
          <w:tcPr>
            <w:tcW w:w="4315" w:type="dxa"/>
            <w:tcBorders>
              <w:top w:val="single" w:sz="4" w:space="0" w:color="auto"/>
              <w:left w:val="single" w:sz="6" w:space="0" w:color="auto"/>
              <w:bottom w:val="single" w:sz="4" w:space="0" w:color="auto"/>
              <w:right w:val="single" w:sz="6" w:space="0" w:color="auto"/>
            </w:tcBorders>
          </w:tcPr>
          <w:p w14:paraId="3420C5A5" w14:textId="77777777" w:rsidR="00F50D3B" w:rsidRPr="00C47279" w:rsidRDefault="00F50D3B" w:rsidP="00F50D3B">
            <w:pPr>
              <w:spacing w:before="60" w:after="60" w:line="240" w:lineRule="auto"/>
              <w:rPr>
                <w:sz w:val="20"/>
                <w:lang w:val="en-GB"/>
              </w:rPr>
            </w:pPr>
            <w:r w:rsidRPr="00C47279">
              <w:rPr>
                <w:sz w:val="20"/>
                <w:lang w:val="en-GB"/>
              </w:rPr>
              <w:t>Complexity</w:t>
            </w:r>
          </w:p>
          <w:p w14:paraId="684B1139" w14:textId="77777777" w:rsidR="00F50D3B" w:rsidRPr="00C47279" w:rsidRDefault="00F50D3B" w:rsidP="00F50D3B">
            <w:pPr>
              <w:spacing w:before="60" w:after="60" w:line="240" w:lineRule="auto"/>
              <w:rPr>
                <w:sz w:val="20"/>
                <w:lang w:val="en-GB"/>
              </w:rPr>
            </w:pPr>
            <w:r w:rsidRPr="00C47279">
              <w:rPr>
                <w:i/>
                <w:iCs/>
                <w:sz w:val="20"/>
                <w:lang w:val="en-GB"/>
              </w:rPr>
              <w:t>[specify the project-defined object complexity category]</w:t>
            </w:r>
          </w:p>
        </w:tc>
        <w:tc>
          <w:tcPr>
            <w:tcW w:w="4474" w:type="dxa"/>
            <w:gridSpan w:val="2"/>
            <w:tcBorders>
              <w:top w:val="single" w:sz="4" w:space="0" w:color="auto"/>
              <w:left w:val="single" w:sz="6" w:space="0" w:color="auto"/>
              <w:bottom w:val="single" w:sz="4" w:space="0" w:color="auto"/>
              <w:right w:val="single" w:sz="6" w:space="0" w:color="auto"/>
            </w:tcBorders>
          </w:tcPr>
          <w:p w14:paraId="22E0A016" w14:textId="77777777" w:rsidR="00F50D3B" w:rsidRPr="00C47279" w:rsidRDefault="00F50D3B" w:rsidP="00F50D3B">
            <w:pPr>
              <w:spacing w:before="60" w:after="60" w:line="240" w:lineRule="auto"/>
              <w:rPr>
                <w:sz w:val="20"/>
                <w:lang w:val="en-GB"/>
              </w:rPr>
            </w:pPr>
          </w:p>
        </w:tc>
      </w:tr>
      <w:tr w:rsidR="00F50D3B" w:rsidRPr="00C47279" w14:paraId="68CC3789" w14:textId="77777777" w:rsidTr="00AB4613">
        <w:trPr>
          <w:cantSplit/>
          <w:trHeight w:val="699"/>
        </w:trPr>
        <w:tc>
          <w:tcPr>
            <w:tcW w:w="4315" w:type="dxa"/>
            <w:tcBorders>
              <w:top w:val="single" w:sz="4" w:space="0" w:color="auto"/>
              <w:left w:val="single" w:sz="6" w:space="0" w:color="auto"/>
              <w:bottom w:val="single" w:sz="4" w:space="0" w:color="auto"/>
              <w:right w:val="single" w:sz="6" w:space="0" w:color="auto"/>
            </w:tcBorders>
          </w:tcPr>
          <w:p w14:paraId="686B6E95" w14:textId="77777777" w:rsidR="00F50D3B" w:rsidRPr="00C47279" w:rsidRDefault="00F50D3B" w:rsidP="00F50D3B">
            <w:pPr>
              <w:spacing w:before="60" w:after="60" w:line="240" w:lineRule="auto"/>
              <w:rPr>
                <w:spacing w:val="-2"/>
                <w:sz w:val="20"/>
                <w:lang w:val="en-GB"/>
              </w:rPr>
            </w:pPr>
            <w:r w:rsidRPr="00C47279">
              <w:rPr>
                <w:spacing w:val="-2"/>
                <w:sz w:val="20"/>
                <w:lang w:val="en-GB"/>
              </w:rPr>
              <w:t>Technologies</w:t>
            </w:r>
          </w:p>
          <w:p w14:paraId="7C7E3AAB" w14:textId="781EB855" w:rsidR="00F50D3B" w:rsidRPr="00C47279" w:rsidRDefault="00F50D3B" w:rsidP="00F50D3B">
            <w:pPr>
              <w:spacing w:before="60" w:after="60" w:line="240" w:lineRule="auto"/>
              <w:rPr>
                <w:i/>
                <w:iCs/>
                <w:sz w:val="20"/>
                <w:lang w:val="en-GB"/>
              </w:rPr>
            </w:pPr>
            <w:r w:rsidRPr="00C47279">
              <w:rPr>
                <w:i/>
                <w:iCs/>
                <w:spacing w:val="-2"/>
                <w:sz w:val="20"/>
                <w:lang w:val="en-GB"/>
              </w:rPr>
              <w:t>[description of important parts, main applied work technologies.]</w:t>
            </w:r>
          </w:p>
        </w:tc>
        <w:tc>
          <w:tcPr>
            <w:tcW w:w="4474" w:type="dxa"/>
            <w:gridSpan w:val="2"/>
            <w:tcBorders>
              <w:top w:val="single" w:sz="4" w:space="0" w:color="auto"/>
              <w:left w:val="single" w:sz="6" w:space="0" w:color="auto"/>
              <w:bottom w:val="single" w:sz="4" w:space="0" w:color="auto"/>
              <w:right w:val="single" w:sz="6" w:space="0" w:color="auto"/>
            </w:tcBorders>
          </w:tcPr>
          <w:p w14:paraId="119DAB95" w14:textId="77777777" w:rsidR="00F50D3B" w:rsidRPr="00C47279" w:rsidRDefault="00F50D3B" w:rsidP="00F50D3B">
            <w:pPr>
              <w:spacing w:before="60" w:after="60" w:line="240" w:lineRule="auto"/>
              <w:rPr>
                <w:sz w:val="20"/>
                <w:lang w:val="en-GB"/>
              </w:rPr>
            </w:pPr>
          </w:p>
        </w:tc>
      </w:tr>
    </w:tbl>
    <w:p w14:paraId="7D7B7CC0" w14:textId="77777777" w:rsidR="00F50D3B" w:rsidRPr="00C47279" w:rsidRDefault="00F50D3B" w:rsidP="00F50D3B">
      <w:pPr>
        <w:jc w:val="both"/>
        <w:rPr>
          <w:i/>
          <w:iCs/>
          <w:sz w:val="20"/>
          <w:szCs w:val="20"/>
          <w:lang w:val="en-GB"/>
        </w:rPr>
      </w:pPr>
      <w:r w:rsidRPr="00C47279">
        <w:rPr>
          <w:i/>
          <w:iCs/>
          <w:sz w:val="20"/>
          <w:szCs w:val="20"/>
          <w:lang w:val="en-GB"/>
        </w:rPr>
        <w:t>Note:</w:t>
      </w:r>
    </w:p>
    <w:p w14:paraId="0545B07F" w14:textId="74888163" w:rsidR="00F50D3B" w:rsidRPr="00C47279" w:rsidRDefault="00F50D3B" w:rsidP="00F50D3B">
      <w:pPr>
        <w:jc w:val="both"/>
        <w:rPr>
          <w:i/>
          <w:iCs/>
          <w:sz w:val="20"/>
          <w:szCs w:val="20"/>
          <w:lang w:val="en-GB"/>
        </w:rPr>
      </w:pPr>
      <w:r w:rsidRPr="00C47279">
        <w:rPr>
          <w:i/>
          <w:iCs/>
          <w:sz w:val="20"/>
          <w:szCs w:val="20"/>
          <w:lang w:val="en-GB"/>
        </w:rPr>
        <w:t>The Employer reserves the right to request confirmation of the successful completion of the contract from the Tender Participan</w:t>
      </w:r>
      <w:r w:rsidR="00B61048">
        <w:rPr>
          <w:i/>
          <w:iCs/>
          <w:sz w:val="20"/>
          <w:szCs w:val="20"/>
          <w:lang w:val="en-GB"/>
        </w:rPr>
        <w:t>ts</w:t>
      </w:r>
      <w:r w:rsidRPr="00C47279">
        <w:rPr>
          <w:i/>
          <w:iCs/>
          <w:sz w:val="20"/>
          <w:szCs w:val="20"/>
          <w:lang w:val="en-GB"/>
        </w:rPr>
        <w:t>).</w:t>
      </w:r>
    </w:p>
    <w:p w14:paraId="221AEB7B" w14:textId="7DC8813B" w:rsidR="002121D1" w:rsidRPr="00C47279" w:rsidRDefault="002121D1" w:rsidP="00F50D3B">
      <w:pPr>
        <w:jc w:val="both"/>
        <w:rPr>
          <w:i/>
          <w:iCs/>
          <w:sz w:val="20"/>
          <w:szCs w:val="20"/>
          <w:lang w:val="en-GB"/>
        </w:rPr>
      </w:pPr>
    </w:p>
    <w:sectPr w:rsidR="002121D1" w:rsidRPr="00C47279" w:rsidSect="004548F3">
      <w:footerReference w:type="default" r:id="rId13"/>
      <w:headerReference w:type="first" r:id="rId14"/>
      <w:pgSz w:w="11906" w:h="16838"/>
      <w:pgMar w:top="1702" w:right="850" w:bottom="1418"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0075" w14:textId="77777777" w:rsidR="006822CF" w:rsidRDefault="006822CF" w:rsidP="002B1540">
      <w:r>
        <w:separator/>
      </w:r>
    </w:p>
  </w:endnote>
  <w:endnote w:type="continuationSeparator" w:id="0">
    <w:p w14:paraId="3C32D8E1" w14:textId="77777777" w:rsidR="006822CF" w:rsidRDefault="006822CF" w:rsidP="002B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336105"/>
      <w:docPartObj>
        <w:docPartGallery w:val="Page Numbers (Bottom of Page)"/>
        <w:docPartUnique/>
      </w:docPartObj>
    </w:sdtPr>
    <w:sdtContent>
      <w:p w14:paraId="2E682052" w14:textId="7D17C9AB" w:rsidR="005014CA" w:rsidRDefault="005014CA">
        <w:pPr>
          <w:pStyle w:val="aa"/>
          <w:jc w:val="center"/>
        </w:pPr>
        <w:r>
          <w:fldChar w:fldCharType="begin"/>
        </w:r>
        <w:r>
          <w:instrText>PAGE   \* MERGEFORMAT</w:instrText>
        </w:r>
        <w:r>
          <w:fldChar w:fldCharType="separate"/>
        </w:r>
        <w:r>
          <w:rPr>
            <w:lang w:val="sv-S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D16A" w14:textId="77777777" w:rsidR="006822CF" w:rsidRDefault="006822CF" w:rsidP="002B1540">
      <w:r>
        <w:separator/>
      </w:r>
    </w:p>
  </w:footnote>
  <w:footnote w:type="continuationSeparator" w:id="0">
    <w:p w14:paraId="23DD6CD2" w14:textId="77777777" w:rsidR="006822CF" w:rsidRDefault="006822CF" w:rsidP="002B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C87E" w14:textId="2AD7065C" w:rsidR="005014CA" w:rsidRDefault="005014CA" w:rsidP="004548F3">
    <w:pPr>
      <w:pStyle w:val="a8"/>
      <w:tabs>
        <w:tab w:val="clear" w:pos="4536"/>
      </w:tabs>
      <w:jc w:val="center"/>
    </w:pPr>
    <w:r>
      <w:rPr>
        <w:noProof/>
      </w:rPr>
      <w:drawing>
        <wp:inline distT="0" distB="0" distL="0" distR="0" wp14:anchorId="65BE2CF2" wp14:editId="4BCF2F2F">
          <wp:extent cx="1247775" cy="581025"/>
          <wp:effectExtent l="0" t="0" r="0" b="0"/>
          <wp:docPr id="1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r>
      <w:tab/>
    </w:r>
    <w:r>
      <w:rPr>
        <w:noProof/>
      </w:rPr>
      <w:drawing>
        <wp:inline distT="0" distB="0" distL="0" distR="0" wp14:anchorId="6651EDCC" wp14:editId="701C8F23">
          <wp:extent cx="1847850" cy="390525"/>
          <wp:effectExtent l="0" t="0" r="0" b="0"/>
          <wp:docPr id="1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7E8586A"/>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35C40BD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2863322"/>
    <w:lvl w:ilvl="0">
      <w:numFmt w:val="bullet"/>
      <w:lvlText w:val="*"/>
      <w:lvlJc w:val="left"/>
    </w:lvl>
  </w:abstractNum>
  <w:abstractNum w:abstractNumId="3" w15:restartNumberingAfterBreak="0">
    <w:nsid w:val="09E3046B"/>
    <w:multiLevelType w:val="hybridMultilevel"/>
    <w:tmpl w:val="62ACD152"/>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BA27BF"/>
    <w:multiLevelType w:val="hybridMultilevel"/>
    <w:tmpl w:val="EF8ED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8C0A30"/>
    <w:multiLevelType w:val="hybridMultilevel"/>
    <w:tmpl w:val="274E33F0"/>
    <w:lvl w:ilvl="0" w:tplc="D3F041E2">
      <w:start w:val="14"/>
      <w:numFmt w:val="bullet"/>
      <w:lvlText w:val="•"/>
      <w:lvlJc w:val="left"/>
      <w:pPr>
        <w:ind w:left="1070" w:hanging="71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A0731B"/>
    <w:multiLevelType w:val="hybridMultilevel"/>
    <w:tmpl w:val="3A6A412C"/>
    <w:lvl w:ilvl="0" w:tplc="36024D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261971"/>
    <w:multiLevelType w:val="hybridMultilevel"/>
    <w:tmpl w:val="6FA694EC"/>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4C016CF"/>
    <w:multiLevelType w:val="hybridMultilevel"/>
    <w:tmpl w:val="33F48C64"/>
    <w:lvl w:ilvl="0" w:tplc="C78CB9F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72C7F3B"/>
    <w:multiLevelType w:val="hybridMultilevel"/>
    <w:tmpl w:val="A490B04E"/>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10" w15:restartNumberingAfterBreak="0">
    <w:nsid w:val="580B6296"/>
    <w:multiLevelType w:val="hybridMultilevel"/>
    <w:tmpl w:val="AE80D17C"/>
    <w:lvl w:ilvl="0" w:tplc="AF608DFE">
      <w:start w:val="1"/>
      <w:numFmt w:val="lowerLetter"/>
      <w:lvlText w:val="(%1)"/>
      <w:lvlJc w:val="left"/>
      <w:pPr>
        <w:ind w:left="1070" w:hanging="71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F807FDF"/>
    <w:multiLevelType w:val="hybridMultilevel"/>
    <w:tmpl w:val="FBAA4DAA"/>
    <w:lvl w:ilvl="0" w:tplc="7700A02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0B251D5"/>
    <w:multiLevelType w:val="hybridMultilevel"/>
    <w:tmpl w:val="536EF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E27E76"/>
    <w:multiLevelType w:val="hybridMultilevel"/>
    <w:tmpl w:val="CB90D6D0"/>
    <w:lvl w:ilvl="0" w:tplc="9488971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5522E7"/>
    <w:multiLevelType w:val="hybridMultilevel"/>
    <w:tmpl w:val="90B4CB4A"/>
    <w:lvl w:ilvl="0" w:tplc="96A0F18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D366E11"/>
    <w:multiLevelType w:val="hybridMultilevel"/>
    <w:tmpl w:val="BA2E0320"/>
    <w:lvl w:ilvl="0" w:tplc="0F8CDB1C">
      <w:start w:val="1"/>
      <w:numFmt w:val="bullet"/>
      <w:lvlText w:val="­"/>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EC408D"/>
    <w:multiLevelType w:val="hybridMultilevel"/>
    <w:tmpl w:val="3A483A0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024850"/>
    <w:multiLevelType w:val="hybridMultilevel"/>
    <w:tmpl w:val="DB26C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2E60AF"/>
    <w:multiLevelType w:val="hybridMultilevel"/>
    <w:tmpl w:val="BA48E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31127D"/>
    <w:multiLevelType w:val="hybridMultilevel"/>
    <w:tmpl w:val="D44AD962"/>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num w:numId="1" w16cid:durableId="403649145">
    <w:abstractNumId w:val="2"/>
    <w:lvlOverride w:ilvl="0">
      <w:lvl w:ilvl="0">
        <w:numFmt w:val="bullet"/>
        <w:lvlText w:val="-"/>
        <w:legacy w:legacy="1" w:legacySpace="0" w:legacyIndent="350"/>
        <w:lvlJc w:val="left"/>
        <w:rPr>
          <w:rFonts w:ascii="Times New Roman" w:hAnsi="Times New Roman" w:hint="default"/>
        </w:rPr>
      </w:lvl>
    </w:lvlOverride>
  </w:num>
  <w:num w:numId="2" w16cid:durableId="1914854683">
    <w:abstractNumId w:val="6"/>
  </w:num>
  <w:num w:numId="3" w16cid:durableId="58556237">
    <w:abstractNumId w:val="15"/>
  </w:num>
  <w:num w:numId="4" w16cid:durableId="398401293">
    <w:abstractNumId w:val="19"/>
  </w:num>
  <w:num w:numId="5" w16cid:durableId="1186213646">
    <w:abstractNumId w:val="9"/>
  </w:num>
  <w:num w:numId="6" w16cid:durableId="1793091743">
    <w:abstractNumId w:val="8"/>
  </w:num>
  <w:num w:numId="7" w16cid:durableId="1936285682">
    <w:abstractNumId w:val="14"/>
  </w:num>
  <w:num w:numId="8" w16cid:durableId="1810708383">
    <w:abstractNumId w:val="17"/>
  </w:num>
  <w:num w:numId="9" w16cid:durableId="491455193">
    <w:abstractNumId w:val="5"/>
  </w:num>
  <w:num w:numId="10" w16cid:durableId="666441253">
    <w:abstractNumId w:val="11"/>
  </w:num>
  <w:num w:numId="11" w16cid:durableId="294988263">
    <w:abstractNumId w:val="13"/>
  </w:num>
  <w:num w:numId="12" w16cid:durableId="1784570765">
    <w:abstractNumId w:val="3"/>
  </w:num>
  <w:num w:numId="13" w16cid:durableId="524172806">
    <w:abstractNumId w:val="10"/>
  </w:num>
  <w:num w:numId="14" w16cid:durableId="837111559">
    <w:abstractNumId w:val="18"/>
  </w:num>
  <w:num w:numId="15" w16cid:durableId="1342274962">
    <w:abstractNumId w:val="4"/>
  </w:num>
  <w:num w:numId="16" w16cid:durableId="1428231595">
    <w:abstractNumId w:val="16"/>
  </w:num>
  <w:num w:numId="17" w16cid:durableId="375200675">
    <w:abstractNumId w:val="12"/>
  </w:num>
  <w:num w:numId="18" w16cid:durableId="1156067452">
    <w:abstractNumId w:val="7"/>
  </w:num>
  <w:num w:numId="19" w16cid:durableId="662781459">
    <w:abstractNumId w:val="1"/>
  </w:num>
  <w:num w:numId="20" w16cid:durableId="192121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B6"/>
    <w:rsid w:val="00007E82"/>
    <w:rsid w:val="00010FDC"/>
    <w:rsid w:val="00026C21"/>
    <w:rsid w:val="000639A7"/>
    <w:rsid w:val="000672B1"/>
    <w:rsid w:val="00072855"/>
    <w:rsid w:val="00074E05"/>
    <w:rsid w:val="00082217"/>
    <w:rsid w:val="00087C4C"/>
    <w:rsid w:val="000922DA"/>
    <w:rsid w:val="0009479B"/>
    <w:rsid w:val="0009675E"/>
    <w:rsid w:val="00096D96"/>
    <w:rsid w:val="00097AF3"/>
    <w:rsid w:val="000A76EB"/>
    <w:rsid w:val="000B0FC1"/>
    <w:rsid w:val="000B16A8"/>
    <w:rsid w:val="000C416A"/>
    <w:rsid w:val="000C4F90"/>
    <w:rsid w:val="000F3E6B"/>
    <w:rsid w:val="00104806"/>
    <w:rsid w:val="00107721"/>
    <w:rsid w:val="001120DA"/>
    <w:rsid w:val="00117D0E"/>
    <w:rsid w:val="00165535"/>
    <w:rsid w:val="00167BD8"/>
    <w:rsid w:val="0017261B"/>
    <w:rsid w:val="00174218"/>
    <w:rsid w:val="001A4841"/>
    <w:rsid w:val="001B32F5"/>
    <w:rsid w:val="001F49D3"/>
    <w:rsid w:val="00201152"/>
    <w:rsid w:val="00203267"/>
    <w:rsid w:val="002121D1"/>
    <w:rsid w:val="00225D27"/>
    <w:rsid w:val="00230562"/>
    <w:rsid w:val="00231F06"/>
    <w:rsid w:val="00233FD6"/>
    <w:rsid w:val="002404FD"/>
    <w:rsid w:val="00241DF6"/>
    <w:rsid w:val="00250E8B"/>
    <w:rsid w:val="00264301"/>
    <w:rsid w:val="002760C4"/>
    <w:rsid w:val="00285E55"/>
    <w:rsid w:val="00295CE9"/>
    <w:rsid w:val="002B1540"/>
    <w:rsid w:val="002E2BC2"/>
    <w:rsid w:val="00300F0F"/>
    <w:rsid w:val="0030361C"/>
    <w:rsid w:val="00326760"/>
    <w:rsid w:val="00331DFF"/>
    <w:rsid w:val="00333B58"/>
    <w:rsid w:val="003348E2"/>
    <w:rsid w:val="00344851"/>
    <w:rsid w:val="00370DD6"/>
    <w:rsid w:val="00373801"/>
    <w:rsid w:val="00390680"/>
    <w:rsid w:val="00397C1E"/>
    <w:rsid w:val="00397DC4"/>
    <w:rsid w:val="003A28BF"/>
    <w:rsid w:val="003A4EA1"/>
    <w:rsid w:val="003C2510"/>
    <w:rsid w:val="003C2F1F"/>
    <w:rsid w:val="003C402D"/>
    <w:rsid w:val="003D01AC"/>
    <w:rsid w:val="003E3F5F"/>
    <w:rsid w:val="0040105F"/>
    <w:rsid w:val="00414C87"/>
    <w:rsid w:val="00417AA2"/>
    <w:rsid w:val="00431E06"/>
    <w:rsid w:val="00443B79"/>
    <w:rsid w:val="004451FB"/>
    <w:rsid w:val="00447C2B"/>
    <w:rsid w:val="004548F3"/>
    <w:rsid w:val="004567E7"/>
    <w:rsid w:val="00456A4B"/>
    <w:rsid w:val="00463273"/>
    <w:rsid w:val="00464701"/>
    <w:rsid w:val="0047406A"/>
    <w:rsid w:val="00482269"/>
    <w:rsid w:val="004833AC"/>
    <w:rsid w:val="004853C2"/>
    <w:rsid w:val="004A1694"/>
    <w:rsid w:val="004A5967"/>
    <w:rsid w:val="004A7135"/>
    <w:rsid w:val="004B51FF"/>
    <w:rsid w:val="004B6C48"/>
    <w:rsid w:val="004C608B"/>
    <w:rsid w:val="004C7EF9"/>
    <w:rsid w:val="004D0446"/>
    <w:rsid w:val="004D1234"/>
    <w:rsid w:val="004D3833"/>
    <w:rsid w:val="004E6926"/>
    <w:rsid w:val="004F1209"/>
    <w:rsid w:val="005012CA"/>
    <w:rsid w:val="005014CA"/>
    <w:rsid w:val="005108D0"/>
    <w:rsid w:val="00522D25"/>
    <w:rsid w:val="00525309"/>
    <w:rsid w:val="00531B98"/>
    <w:rsid w:val="005366BD"/>
    <w:rsid w:val="0054756A"/>
    <w:rsid w:val="005565A4"/>
    <w:rsid w:val="00561BEF"/>
    <w:rsid w:val="00565354"/>
    <w:rsid w:val="00571BFD"/>
    <w:rsid w:val="00571D67"/>
    <w:rsid w:val="00576E51"/>
    <w:rsid w:val="00584310"/>
    <w:rsid w:val="005A0075"/>
    <w:rsid w:val="005A73CB"/>
    <w:rsid w:val="005C0847"/>
    <w:rsid w:val="005C4145"/>
    <w:rsid w:val="005C683D"/>
    <w:rsid w:val="005D1DB8"/>
    <w:rsid w:val="005E49FA"/>
    <w:rsid w:val="005F1AFD"/>
    <w:rsid w:val="005F1EF5"/>
    <w:rsid w:val="00604FF1"/>
    <w:rsid w:val="0061175E"/>
    <w:rsid w:val="00612955"/>
    <w:rsid w:val="00614B89"/>
    <w:rsid w:val="00621A29"/>
    <w:rsid w:val="0063594E"/>
    <w:rsid w:val="0064472C"/>
    <w:rsid w:val="006506A9"/>
    <w:rsid w:val="00652EBE"/>
    <w:rsid w:val="006538E1"/>
    <w:rsid w:val="00662B0F"/>
    <w:rsid w:val="00667F59"/>
    <w:rsid w:val="006822CF"/>
    <w:rsid w:val="0069456C"/>
    <w:rsid w:val="006C5E40"/>
    <w:rsid w:val="006D608A"/>
    <w:rsid w:val="006E70DE"/>
    <w:rsid w:val="007100BC"/>
    <w:rsid w:val="00712585"/>
    <w:rsid w:val="00731ECC"/>
    <w:rsid w:val="00742D54"/>
    <w:rsid w:val="0074459D"/>
    <w:rsid w:val="00746D77"/>
    <w:rsid w:val="00756237"/>
    <w:rsid w:val="007918AE"/>
    <w:rsid w:val="00791C11"/>
    <w:rsid w:val="007927EC"/>
    <w:rsid w:val="007B1C7E"/>
    <w:rsid w:val="007C2247"/>
    <w:rsid w:val="007D330B"/>
    <w:rsid w:val="007F3603"/>
    <w:rsid w:val="00825E1B"/>
    <w:rsid w:val="008271AC"/>
    <w:rsid w:val="008300D0"/>
    <w:rsid w:val="0085000D"/>
    <w:rsid w:val="00852B25"/>
    <w:rsid w:val="00854356"/>
    <w:rsid w:val="008638DB"/>
    <w:rsid w:val="00864311"/>
    <w:rsid w:val="00883C6E"/>
    <w:rsid w:val="00883F3D"/>
    <w:rsid w:val="00885B25"/>
    <w:rsid w:val="00892C8D"/>
    <w:rsid w:val="00897B98"/>
    <w:rsid w:val="008A5F5A"/>
    <w:rsid w:val="008A7D45"/>
    <w:rsid w:val="008B0A8B"/>
    <w:rsid w:val="008B2D1C"/>
    <w:rsid w:val="008C7798"/>
    <w:rsid w:val="008D42D6"/>
    <w:rsid w:val="008D5721"/>
    <w:rsid w:val="009000BA"/>
    <w:rsid w:val="0090518D"/>
    <w:rsid w:val="0090672A"/>
    <w:rsid w:val="00920FFA"/>
    <w:rsid w:val="009275FE"/>
    <w:rsid w:val="0093720C"/>
    <w:rsid w:val="00945B20"/>
    <w:rsid w:val="00967416"/>
    <w:rsid w:val="0098652F"/>
    <w:rsid w:val="009A399B"/>
    <w:rsid w:val="009A6365"/>
    <w:rsid w:val="009B14AD"/>
    <w:rsid w:val="009B19DB"/>
    <w:rsid w:val="009B2FD8"/>
    <w:rsid w:val="009C5183"/>
    <w:rsid w:val="009E0E63"/>
    <w:rsid w:val="009E1AAD"/>
    <w:rsid w:val="00A00498"/>
    <w:rsid w:val="00A140E7"/>
    <w:rsid w:val="00A17887"/>
    <w:rsid w:val="00A458AF"/>
    <w:rsid w:val="00A65BD6"/>
    <w:rsid w:val="00A66D2F"/>
    <w:rsid w:val="00A742E7"/>
    <w:rsid w:val="00A77F9E"/>
    <w:rsid w:val="00A95EE8"/>
    <w:rsid w:val="00AA5E23"/>
    <w:rsid w:val="00AB6EA2"/>
    <w:rsid w:val="00AC1FEC"/>
    <w:rsid w:val="00AC7691"/>
    <w:rsid w:val="00AD13F5"/>
    <w:rsid w:val="00AF7196"/>
    <w:rsid w:val="00B002C2"/>
    <w:rsid w:val="00B02074"/>
    <w:rsid w:val="00B13D02"/>
    <w:rsid w:val="00B15DD9"/>
    <w:rsid w:val="00B1705B"/>
    <w:rsid w:val="00B477A9"/>
    <w:rsid w:val="00B61048"/>
    <w:rsid w:val="00B673ED"/>
    <w:rsid w:val="00B678B6"/>
    <w:rsid w:val="00B7146E"/>
    <w:rsid w:val="00B71945"/>
    <w:rsid w:val="00B85E63"/>
    <w:rsid w:val="00BA34AA"/>
    <w:rsid w:val="00BA5EF0"/>
    <w:rsid w:val="00BD020B"/>
    <w:rsid w:val="00BE3CFD"/>
    <w:rsid w:val="00BE62CF"/>
    <w:rsid w:val="00C05C05"/>
    <w:rsid w:val="00C10218"/>
    <w:rsid w:val="00C106A5"/>
    <w:rsid w:val="00C26CC8"/>
    <w:rsid w:val="00C423BA"/>
    <w:rsid w:val="00C4328A"/>
    <w:rsid w:val="00C43842"/>
    <w:rsid w:val="00C47279"/>
    <w:rsid w:val="00C51352"/>
    <w:rsid w:val="00C52206"/>
    <w:rsid w:val="00C60A18"/>
    <w:rsid w:val="00C63DB4"/>
    <w:rsid w:val="00C77484"/>
    <w:rsid w:val="00C80960"/>
    <w:rsid w:val="00C935E1"/>
    <w:rsid w:val="00C970D5"/>
    <w:rsid w:val="00CA7288"/>
    <w:rsid w:val="00CC0C2D"/>
    <w:rsid w:val="00CD3DD3"/>
    <w:rsid w:val="00CE09D6"/>
    <w:rsid w:val="00CE62E6"/>
    <w:rsid w:val="00CF5CF7"/>
    <w:rsid w:val="00D07D94"/>
    <w:rsid w:val="00D13C1D"/>
    <w:rsid w:val="00D20EB2"/>
    <w:rsid w:val="00D361F5"/>
    <w:rsid w:val="00D37042"/>
    <w:rsid w:val="00D51FA4"/>
    <w:rsid w:val="00D54641"/>
    <w:rsid w:val="00D549DD"/>
    <w:rsid w:val="00D60EF7"/>
    <w:rsid w:val="00D61291"/>
    <w:rsid w:val="00D621DD"/>
    <w:rsid w:val="00D63503"/>
    <w:rsid w:val="00D66D22"/>
    <w:rsid w:val="00D721A9"/>
    <w:rsid w:val="00D82FFB"/>
    <w:rsid w:val="00D87C66"/>
    <w:rsid w:val="00D900EC"/>
    <w:rsid w:val="00D9202B"/>
    <w:rsid w:val="00D95239"/>
    <w:rsid w:val="00D97814"/>
    <w:rsid w:val="00DA357A"/>
    <w:rsid w:val="00DC5D72"/>
    <w:rsid w:val="00DD47D6"/>
    <w:rsid w:val="00DD751A"/>
    <w:rsid w:val="00E04303"/>
    <w:rsid w:val="00E1034A"/>
    <w:rsid w:val="00E12153"/>
    <w:rsid w:val="00E171B2"/>
    <w:rsid w:val="00E24CE5"/>
    <w:rsid w:val="00E418F5"/>
    <w:rsid w:val="00E5612D"/>
    <w:rsid w:val="00E62905"/>
    <w:rsid w:val="00E67001"/>
    <w:rsid w:val="00E80376"/>
    <w:rsid w:val="00E8452D"/>
    <w:rsid w:val="00E86629"/>
    <w:rsid w:val="00E917C6"/>
    <w:rsid w:val="00ED65ED"/>
    <w:rsid w:val="00ED7B7A"/>
    <w:rsid w:val="00EE2F76"/>
    <w:rsid w:val="00EE6C10"/>
    <w:rsid w:val="00EF0CDC"/>
    <w:rsid w:val="00EF0E86"/>
    <w:rsid w:val="00EF7809"/>
    <w:rsid w:val="00F14C53"/>
    <w:rsid w:val="00F23E56"/>
    <w:rsid w:val="00F25578"/>
    <w:rsid w:val="00F3040D"/>
    <w:rsid w:val="00F40383"/>
    <w:rsid w:val="00F50D3B"/>
    <w:rsid w:val="00F7353E"/>
    <w:rsid w:val="00F7614F"/>
    <w:rsid w:val="00F85FFA"/>
    <w:rsid w:val="00F951AA"/>
    <w:rsid w:val="00FB1E70"/>
    <w:rsid w:val="00FC18A3"/>
    <w:rsid w:val="00FF0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6806CB"/>
  <w15:docId w15:val="{57F20352-6D0A-4031-ABB9-8B0D1FD1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1540"/>
    <w:pPr>
      <w:spacing w:before="120" w:after="120" w:line="276" w:lineRule="auto"/>
    </w:pPr>
    <w:rPr>
      <w:rFonts w:ascii="Times New Roman" w:hAnsi="Times New Roman"/>
      <w:sz w:val="28"/>
      <w:szCs w:val="28"/>
      <w:lang w:val="uk-UA" w:eastAsia="en-US"/>
    </w:rPr>
  </w:style>
  <w:style w:type="paragraph" w:styleId="1">
    <w:name w:val="heading 1"/>
    <w:basedOn w:val="a1"/>
    <w:next w:val="a1"/>
    <w:link w:val="10"/>
    <w:qFormat/>
    <w:locked/>
    <w:rsid w:val="00096D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semiHidden/>
    <w:unhideWhenUsed/>
    <w:qFormat/>
    <w:locked/>
    <w:rsid w:val="00096D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semiHidden/>
    <w:unhideWhenUsed/>
    <w:qFormat/>
    <w:locked/>
    <w:rsid w:val="00096D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semiHidden/>
    <w:unhideWhenUsed/>
    <w:qFormat/>
    <w:locked/>
    <w:rsid w:val="00096D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15">
    <w:name w:val="Font Style15"/>
    <w:uiPriority w:val="99"/>
    <w:rsid w:val="00B1705B"/>
    <w:rPr>
      <w:rFonts w:ascii="Times New Roman" w:hAnsi="Times New Roman" w:cs="Times New Roman"/>
      <w:b/>
      <w:bCs/>
      <w:sz w:val="26"/>
      <w:szCs w:val="26"/>
    </w:rPr>
  </w:style>
  <w:style w:type="character" w:customStyle="1" w:styleId="FontStyle16">
    <w:name w:val="Font Style16"/>
    <w:uiPriority w:val="99"/>
    <w:rsid w:val="00B1705B"/>
    <w:rPr>
      <w:rFonts w:ascii="Times New Roman" w:hAnsi="Times New Roman" w:cs="Times New Roman"/>
      <w:sz w:val="26"/>
      <w:szCs w:val="26"/>
    </w:rPr>
  </w:style>
  <w:style w:type="paragraph" w:styleId="a5">
    <w:name w:val="List Paragraph"/>
    <w:basedOn w:val="a1"/>
    <w:uiPriority w:val="99"/>
    <w:qFormat/>
    <w:rsid w:val="00201152"/>
    <w:pPr>
      <w:ind w:left="720"/>
      <w:contextualSpacing/>
    </w:pPr>
  </w:style>
  <w:style w:type="paragraph" w:styleId="a6">
    <w:name w:val="Body Text"/>
    <w:basedOn w:val="a1"/>
    <w:link w:val="a7"/>
    <w:uiPriority w:val="99"/>
    <w:semiHidden/>
    <w:rsid w:val="000C416A"/>
  </w:style>
  <w:style w:type="character" w:customStyle="1" w:styleId="a7">
    <w:name w:val="Основний текст Знак"/>
    <w:link w:val="a6"/>
    <w:uiPriority w:val="99"/>
    <w:semiHidden/>
    <w:locked/>
    <w:rsid w:val="000C416A"/>
    <w:rPr>
      <w:rFonts w:cs="Times New Roman"/>
      <w:lang w:val="uk-UA"/>
    </w:rPr>
  </w:style>
  <w:style w:type="paragraph" w:styleId="a8">
    <w:name w:val="header"/>
    <w:basedOn w:val="a1"/>
    <w:link w:val="a9"/>
    <w:uiPriority w:val="99"/>
    <w:unhideWhenUsed/>
    <w:rsid w:val="00AB6EA2"/>
    <w:pPr>
      <w:tabs>
        <w:tab w:val="center" w:pos="4536"/>
        <w:tab w:val="right" w:pos="9072"/>
      </w:tabs>
    </w:pPr>
  </w:style>
  <w:style w:type="character" w:customStyle="1" w:styleId="a9">
    <w:name w:val="Верхній колонтитул Знак"/>
    <w:link w:val="a8"/>
    <w:uiPriority w:val="99"/>
    <w:rsid w:val="00AB6EA2"/>
    <w:rPr>
      <w:lang w:eastAsia="en-US"/>
    </w:rPr>
  </w:style>
  <w:style w:type="paragraph" w:styleId="aa">
    <w:name w:val="footer"/>
    <w:basedOn w:val="a1"/>
    <w:link w:val="ab"/>
    <w:uiPriority w:val="99"/>
    <w:unhideWhenUsed/>
    <w:rsid w:val="00AB6EA2"/>
    <w:pPr>
      <w:tabs>
        <w:tab w:val="center" w:pos="4536"/>
        <w:tab w:val="right" w:pos="9072"/>
      </w:tabs>
    </w:pPr>
  </w:style>
  <w:style w:type="character" w:customStyle="1" w:styleId="ab">
    <w:name w:val="Нижній колонтитул Знак"/>
    <w:link w:val="aa"/>
    <w:uiPriority w:val="99"/>
    <w:rsid w:val="00AB6EA2"/>
    <w:rPr>
      <w:lang w:eastAsia="en-US"/>
    </w:rPr>
  </w:style>
  <w:style w:type="paragraph" w:styleId="ac">
    <w:name w:val="Balloon Text"/>
    <w:basedOn w:val="a1"/>
    <w:link w:val="ad"/>
    <w:uiPriority w:val="99"/>
    <w:semiHidden/>
    <w:unhideWhenUsed/>
    <w:rsid w:val="0069456C"/>
    <w:pPr>
      <w:spacing w:before="0" w:after="0" w:line="240" w:lineRule="auto"/>
    </w:pPr>
    <w:rPr>
      <w:rFonts w:ascii="Segoe UI" w:hAnsi="Segoe UI" w:cs="Segoe UI"/>
      <w:sz w:val="18"/>
      <w:szCs w:val="18"/>
    </w:rPr>
  </w:style>
  <w:style w:type="character" w:customStyle="1" w:styleId="ad">
    <w:name w:val="Текст у виносці Знак"/>
    <w:link w:val="ac"/>
    <w:uiPriority w:val="99"/>
    <w:semiHidden/>
    <w:rsid w:val="0069456C"/>
    <w:rPr>
      <w:rFonts w:ascii="Segoe UI" w:hAnsi="Segoe UI" w:cs="Segoe UI"/>
      <w:sz w:val="18"/>
      <w:szCs w:val="18"/>
      <w:lang w:val="uk-UA" w:eastAsia="en-US"/>
    </w:rPr>
  </w:style>
  <w:style w:type="character" w:styleId="ae">
    <w:name w:val="Hyperlink"/>
    <w:uiPriority w:val="99"/>
    <w:unhideWhenUsed/>
    <w:rsid w:val="007100BC"/>
    <w:rPr>
      <w:color w:val="0000FF"/>
      <w:u w:val="single"/>
    </w:rPr>
  </w:style>
  <w:style w:type="character" w:styleId="af">
    <w:name w:val="Unresolved Mention"/>
    <w:basedOn w:val="a2"/>
    <w:uiPriority w:val="99"/>
    <w:semiHidden/>
    <w:unhideWhenUsed/>
    <w:rsid w:val="00D9202B"/>
    <w:rPr>
      <w:color w:val="605E5C"/>
      <w:shd w:val="clear" w:color="auto" w:fill="E1DFDD"/>
    </w:rPr>
  </w:style>
  <w:style w:type="paragraph" w:customStyle="1" w:styleId="Subheader1">
    <w:name w:val="Subheader1"/>
    <w:basedOn w:val="a1"/>
    <w:link w:val="Subheader10"/>
    <w:qFormat/>
    <w:rsid w:val="005014CA"/>
    <w:pPr>
      <w:spacing w:after="240" w:line="259" w:lineRule="auto"/>
      <w:jc w:val="center"/>
    </w:pPr>
    <w:rPr>
      <w:rFonts w:eastAsiaTheme="minorHAnsi"/>
      <w:b/>
    </w:rPr>
  </w:style>
  <w:style w:type="character" w:customStyle="1" w:styleId="Subheader10">
    <w:name w:val="Subheader1 Знак"/>
    <w:basedOn w:val="a2"/>
    <w:link w:val="Subheader1"/>
    <w:rsid w:val="005014CA"/>
    <w:rPr>
      <w:rFonts w:ascii="Times New Roman" w:eastAsiaTheme="minorHAnsi" w:hAnsi="Times New Roman"/>
      <w:b/>
      <w:sz w:val="28"/>
      <w:szCs w:val="28"/>
      <w:lang w:val="uk-UA" w:eastAsia="en-US"/>
    </w:rPr>
  </w:style>
  <w:style w:type="table" w:styleId="af0">
    <w:name w:val="Table Grid"/>
    <w:basedOn w:val="a3"/>
    <w:locked/>
    <w:rsid w:val="0046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7261B"/>
    <w:rPr>
      <w:rFonts w:ascii="Times New Roman" w:hAnsi="Times New Roman"/>
      <w:sz w:val="28"/>
      <w:szCs w:val="28"/>
      <w:lang w:val="uk-UA" w:eastAsia="en-US"/>
    </w:rPr>
  </w:style>
  <w:style w:type="character" w:styleId="af2">
    <w:name w:val="annotation reference"/>
    <w:basedOn w:val="a2"/>
    <w:uiPriority w:val="99"/>
    <w:semiHidden/>
    <w:unhideWhenUsed/>
    <w:rsid w:val="0063594E"/>
    <w:rPr>
      <w:sz w:val="16"/>
      <w:szCs w:val="16"/>
    </w:rPr>
  </w:style>
  <w:style w:type="paragraph" w:styleId="af3">
    <w:name w:val="annotation text"/>
    <w:basedOn w:val="a1"/>
    <w:link w:val="af4"/>
    <w:uiPriority w:val="99"/>
    <w:unhideWhenUsed/>
    <w:rsid w:val="0063594E"/>
    <w:pPr>
      <w:spacing w:line="240" w:lineRule="auto"/>
    </w:pPr>
    <w:rPr>
      <w:sz w:val="20"/>
      <w:szCs w:val="20"/>
    </w:rPr>
  </w:style>
  <w:style w:type="character" w:customStyle="1" w:styleId="af4">
    <w:name w:val="Текст примітки Знак"/>
    <w:basedOn w:val="a2"/>
    <w:link w:val="af3"/>
    <w:uiPriority w:val="99"/>
    <w:rsid w:val="0063594E"/>
    <w:rPr>
      <w:rFonts w:ascii="Times New Roman" w:hAnsi="Times New Roman"/>
      <w:lang w:val="uk-UA" w:eastAsia="en-US"/>
    </w:rPr>
  </w:style>
  <w:style w:type="paragraph" w:styleId="af5">
    <w:name w:val="annotation subject"/>
    <w:basedOn w:val="af3"/>
    <w:next w:val="af3"/>
    <w:link w:val="af6"/>
    <w:uiPriority w:val="99"/>
    <w:semiHidden/>
    <w:unhideWhenUsed/>
    <w:rsid w:val="0063594E"/>
    <w:rPr>
      <w:b/>
      <w:bCs/>
    </w:rPr>
  </w:style>
  <w:style w:type="character" w:customStyle="1" w:styleId="af6">
    <w:name w:val="Тема примітки Знак"/>
    <w:basedOn w:val="af4"/>
    <w:link w:val="af5"/>
    <w:uiPriority w:val="99"/>
    <w:semiHidden/>
    <w:rsid w:val="0063594E"/>
    <w:rPr>
      <w:rFonts w:ascii="Times New Roman" w:hAnsi="Times New Roman"/>
      <w:b/>
      <w:bCs/>
      <w:lang w:val="uk-UA" w:eastAsia="en-US"/>
    </w:rPr>
  </w:style>
  <w:style w:type="character" w:styleId="af7">
    <w:name w:val="FollowedHyperlink"/>
    <w:basedOn w:val="a2"/>
    <w:uiPriority w:val="99"/>
    <w:semiHidden/>
    <w:unhideWhenUsed/>
    <w:rsid w:val="0064472C"/>
    <w:rPr>
      <w:color w:val="800080" w:themeColor="followedHyperlink"/>
      <w:u w:val="single"/>
    </w:rPr>
  </w:style>
  <w:style w:type="character" w:customStyle="1" w:styleId="hwtze">
    <w:name w:val="hwtze"/>
    <w:basedOn w:val="a2"/>
    <w:rsid w:val="00C10218"/>
  </w:style>
  <w:style w:type="character" w:customStyle="1" w:styleId="rynqvb">
    <w:name w:val="rynqvb"/>
    <w:basedOn w:val="a2"/>
    <w:rsid w:val="00C10218"/>
  </w:style>
  <w:style w:type="character" w:customStyle="1" w:styleId="hgkelc">
    <w:name w:val="hgkelc"/>
    <w:basedOn w:val="a2"/>
    <w:rsid w:val="00107721"/>
  </w:style>
  <w:style w:type="paragraph" w:styleId="a0">
    <w:name w:val="List Bullet"/>
    <w:basedOn w:val="a1"/>
    <w:uiPriority w:val="99"/>
    <w:semiHidden/>
    <w:unhideWhenUsed/>
    <w:rsid w:val="00096D96"/>
    <w:pPr>
      <w:numPr>
        <w:numId w:val="19"/>
      </w:numPr>
      <w:contextualSpacing/>
    </w:pPr>
  </w:style>
  <w:style w:type="paragraph" w:styleId="a">
    <w:name w:val="List Number"/>
    <w:basedOn w:val="a1"/>
    <w:uiPriority w:val="99"/>
    <w:semiHidden/>
    <w:unhideWhenUsed/>
    <w:rsid w:val="00096D96"/>
    <w:pPr>
      <w:numPr>
        <w:numId w:val="20"/>
      </w:numPr>
      <w:contextualSpacing/>
    </w:pPr>
  </w:style>
  <w:style w:type="character" w:customStyle="1" w:styleId="10">
    <w:name w:val="Заголовок 1 Знак"/>
    <w:basedOn w:val="a2"/>
    <w:link w:val="1"/>
    <w:rsid w:val="00096D96"/>
    <w:rPr>
      <w:rFonts w:asciiTheme="majorHAnsi" w:eastAsiaTheme="majorEastAsia" w:hAnsiTheme="majorHAnsi" w:cstheme="majorBidi"/>
      <w:color w:val="365F91" w:themeColor="accent1" w:themeShade="BF"/>
      <w:sz w:val="32"/>
      <w:szCs w:val="32"/>
      <w:lang w:val="uk-UA" w:eastAsia="en-US"/>
    </w:rPr>
  </w:style>
  <w:style w:type="character" w:customStyle="1" w:styleId="20">
    <w:name w:val="Заголовок 2 Знак"/>
    <w:basedOn w:val="a2"/>
    <w:link w:val="2"/>
    <w:semiHidden/>
    <w:rsid w:val="00096D96"/>
    <w:rPr>
      <w:rFonts w:asciiTheme="majorHAnsi" w:eastAsiaTheme="majorEastAsia" w:hAnsiTheme="majorHAnsi" w:cstheme="majorBidi"/>
      <w:color w:val="365F91" w:themeColor="accent1" w:themeShade="BF"/>
      <w:sz w:val="26"/>
      <w:szCs w:val="26"/>
      <w:lang w:val="uk-UA" w:eastAsia="en-US"/>
    </w:rPr>
  </w:style>
  <w:style w:type="character" w:customStyle="1" w:styleId="30">
    <w:name w:val="Заголовок 3 Знак"/>
    <w:basedOn w:val="a2"/>
    <w:link w:val="3"/>
    <w:semiHidden/>
    <w:rsid w:val="00096D96"/>
    <w:rPr>
      <w:rFonts w:asciiTheme="majorHAnsi" w:eastAsiaTheme="majorEastAsia" w:hAnsiTheme="majorHAnsi" w:cstheme="majorBidi"/>
      <w:color w:val="243F60" w:themeColor="accent1" w:themeShade="7F"/>
      <w:sz w:val="24"/>
      <w:szCs w:val="24"/>
      <w:lang w:val="uk-UA" w:eastAsia="en-US"/>
    </w:rPr>
  </w:style>
  <w:style w:type="character" w:customStyle="1" w:styleId="40">
    <w:name w:val="Заголовок 4 Знак"/>
    <w:basedOn w:val="a2"/>
    <w:link w:val="4"/>
    <w:semiHidden/>
    <w:rsid w:val="00096D96"/>
    <w:rPr>
      <w:rFonts w:asciiTheme="majorHAnsi" w:eastAsiaTheme="majorEastAsia" w:hAnsiTheme="majorHAnsi" w:cstheme="majorBidi"/>
      <w:i/>
      <w:iCs/>
      <w:color w:val="365F91" w:themeColor="accent1" w:themeShade="BF"/>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87440">
      <w:bodyDiv w:val="1"/>
      <w:marLeft w:val="0"/>
      <w:marRight w:val="0"/>
      <w:marTop w:val="0"/>
      <w:marBottom w:val="0"/>
      <w:divBdr>
        <w:top w:val="none" w:sz="0" w:space="0" w:color="auto"/>
        <w:left w:val="none" w:sz="0" w:space="0" w:color="auto"/>
        <w:bottom w:val="none" w:sz="0" w:space="0" w:color="auto"/>
        <w:right w:val="none" w:sz="0" w:space="0" w:color="auto"/>
      </w:divBdr>
    </w:div>
    <w:div w:id="1385135793">
      <w:bodyDiv w:val="1"/>
      <w:marLeft w:val="0"/>
      <w:marRight w:val="0"/>
      <w:marTop w:val="0"/>
      <w:marBottom w:val="0"/>
      <w:divBdr>
        <w:top w:val="none" w:sz="0" w:space="0" w:color="auto"/>
        <w:left w:val="none" w:sz="0" w:space="0" w:color="auto"/>
        <w:bottom w:val="none" w:sz="0" w:space="0" w:color="auto"/>
        <w:right w:val="none" w:sz="0" w:space="0" w:color="auto"/>
      </w:divBdr>
    </w:div>
    <w:div w:id="1401445790">
      <w:bodyDiv w:val="1"/>
      <w:marLeft w:val="0"/>
      <w:marRight w:val="0"/>
      <w:marTop w:val="0"/>
      <w:marBottom w:val="0"/>
      <w:divBdr>
        <w:top w:val="none" w:sz="0" w:space="0" w:color="auto"/>
        <w:left w:val="none" w:sz="0" w:space="0" w:color="auto"/>
        <w:bottom w:val="none" w:sz="0" w:space="0" w:color="auto"/>
        <w:right w:val="none" w:sz="0" w:space="0" w:color="auto"/>
      </w:divBdr>
    </w:div>
    <w:div w:id="1689940368">
      <w:bodyDiv w:val="1"/>
      <w:marLeft w:val="0"/>
      <w:marRight w:val="0"/>
      <w:marTop w:val="0"/>
      <w:marBottom w:val="0"/>
      <w:divBdr>
        <w:top w:val="none" w:sz="0" w:space="0" w:color="auto"/>
        <w:left w:val="none" w:sz="0" w:space="0" w:color="auto"/>
        <w:bottom w:val="none" w:sz="0" w:space="0" w:color="auto"/>
        <w:right w:val="none" w:sz="0" w:space="0" w:color="auto"/>
      </w:divBdr>
    </w:div>
    <w:div w:id="1920870410">
      <w:bodyDiv w:val="1"/>
      <w:marLeft w:val="0"/>
      <w:marRight w:val="0"/>
      <w:marTop w:val="0"/>
      <w:marBottom w:val="0"/>
      <w:divBdr>
        <w:top w:val="none" w:sz="0" w:space="0" w:color="auto"/>
        <w:left w:val="none" w:sz="0" w:space="0" w:color="auto"/>
        <w:bottom w:val="none" w:sz="0" w:space="0" w:color="auto"/>
        <w:right w:val="none" w:sz="0" w:space="0" w:color="auto"/>
      </w:divBdr>
    </w:div>
    <w:div w:id="19744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nk.gov.ua/ua/markets/exchange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nk.gov.ua/files/Exchange_r.x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4FE58E755D194FBB15E3938B677A6B" ma:contentTypeVersion="0" ma:contentTypeDescription="Skapa ett nytt dokument." ma:contentTypeScope="" ma:versionID="a19ab81f08fd28b5b43827ca48e07a48">
  <xsd:schema xmlns:xsd="http://www.w3.org/2001/XMLSchema" xmlns:xs="http://www.w3.org/2001/XMLSchema" xmlns:p="http://schemas.microsoft.com/office/2006/metadata/properties" targetNamespace="http://schemas.microsoft.com/office/2006/metadata/properties" ma:root="true" ma:fieldsID="75dc5343537c07ffd8e108a6fe8bd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70E45-C97B-4B77-95DD-F952C72D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494B16-96E2-4CF2-BE6E-41FFCE2E0223}">
  <ds:schemaRefs>
    <ds:schemaRef ds:uri="http://schemas.openxmlformats.org/officeDocument/2006/bibliography"/>
  </ds:schemaRefs>
</ds:datastoreItem>
</file>

<file path=customXml/itemProps3.xml><?xml version="1.0" encoding="utf-8"?>
<ds:datastoreItem xmlns:ds="http://schemas.openxmlformats.org/officeDocument/2006/customXml" ds:itemID="{1EB9503B-66AF-47C6-8BFF-E53357A4C26C}">
  <ds:schemaRefs>
    <ds:schemaRef ds:uri="http://schemas.microsoft.com/sharepoint/v3/contenttype/forms"/>
  </ds:schemaRefs>
</ds:datastoreItem>
</file>

<file path=customXml/itemProps4.xml><?xml version="1.0" encoding="utf-8"?>
<ds:datastoreItem xmlns:ds="http://schemas.openxmlformats.org/officeDocument/2006/customXml" ds:itemID="{A365E8DA-CC00-411D-B0BF-60299C1F1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8575</Words>
  <Characters>4888</Characters>
  <Application>Microsoft Office Word</Application>
  <DocSecurity>0</DocSecurity>
  <Lines>40</Lines>
  <Paragraphs>26</Paragraphs>
  <ScaleCrop>false</ScaleCrop>
  <HeadingPairs>
    <vt:vector size="6" baseType="variant">
      <vt:variant>
        <vt:lpstr>Title</vt:lpstr>
      </vt:variant>
      <vt:variant>
        <vt:i4>1</vt:i4>
      </vt:variant>
      <vt:variant>
        <vt:lpstr>Название</vt:lpstr>
      </vt:variant>
      <vt:variant>
        <vt:i4>1</vt:i4>
      </vt:variant>
      <vt:variant>
        <vt:lpstr>Rubrik</vt:lpstr>
      </vt:variant>
      <vt:variant>
        <vt:i4>1</vt:i4>
      </vt:variant>
    </vt:vector>
  </HeadingPairs>
  <TitlesOfParts>
    <vt:vector size="3" baseType="lpstr">
      <vt:lpstr>Project name: "Energy Efficiency in Public Buildings in Lutsk City"</vt:lpstr>
      <vt:lpstr>Project name: "Energy Efficiency in Public Buildings in Lutsk City"</vt:lpstr>
      <vt:lpstr>Project name: "Energy Efficiency in Public Buildings in Lutsk City"</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"Energy Efficiency in Public Buildings in Lutsk City"</dc:title>
  <dc:subject/>
  <dc:creator>navrocky</dc:creator>
  <cp:keywords/>
  <dc:description/>
  <cp:lastModifiedBy>Олександр Надольський</cp:lastModifiedBy>
  <cp:revision>14</cp:revision>
  <cp:lastPrinted>2018-07-30T11:05:00Z</cp:lastPrinted>
  <dcterms:created xsi:type="dcterms:W3CDTF">2023-07-19T10:02:00Z</dcterms:created>
  <dcterms:modified xsi:type="dcterms:W3CDTF">2023-08-07T12:07:00Z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0x010100F64FE58E755D194FBB15E3938B677A6B</vt:lpwstr>
  </property>
  <property fmtid="{D5CDD505-2E9C-101B-9397-08002B2CF9AE}" pid="3" name="MSIP_Label_43f08ec5-d6d9-4227-8387-ccbfcb3632c4_Enabled">
    <vt:lpwstr>true</vt:lpwstr>
  </property>
  <property fmtid="{D5CDD505-2E9C-101B-9397-08002B2CF9AE}" pid="4" name="MSIP_Label_43f08ec5-d6d9-4227-8387-ccbfcb3632c4_SetDate">
    <vt:lpwstr>2021-02-15T14:24:12Z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f4e76d13-13a2-4150-8d47-0000eb8a1017</vt:lpwstr>
  </property>
  <property fmtid="{D5CDD505-2E9C-101B-9397-08002B2CF9AE}" pid="9" name="MSIP_Label_43f08ec5-d6d9-4227-8387-ccbfcb3632c4_ContentBits">
    <vt:lpwstr>0</vt:lpwstr>
  </property>
</Properties>
</file>